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анализа и аудита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«Экономика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управление»,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«Бухгалтерский учет и аудит»,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риспруде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нция»,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«Государственное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составлении и утверждении Карты внутреннего финансового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участие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и внеплановых проверок соблюдения периодичности выполнения контрольных действий ответственными должностными лицами за проведение внутреннего финансового контроля, согласно утвержденной Карты внутреннего финансового контроля;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участие в составлении и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внут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реннего финансового аудита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плановых и внеплановых мероприятий внутреннего финансового аудита в других структурных подразделениях Министерства, согласно Плана внутреннего финансового аудита;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плановых и внеплановых мероприятий внутреннего финансового аудита в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рству учреждениях, организациях;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для сводных квартальных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годовых отчетов о деятельности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справок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информации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предоставленных другими структурными подразделениями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установленной сфере деятельности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участие в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сведениями, составляющими государственную тайну, ведение секретного делопроизводства;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участие в работе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антитеррористической защищенности объектов,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одведомственных Министерству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проведение проверок состояния антитеррористической защищенности объектов (территорий), находящихся в 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министерства,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устранением выявленных недостатков;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сбора и подготовки информационно-справочных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аналитических материалов, необходимых при рассмотрении вопросов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заседаниях АТК в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анализа деятельности подведомственных учреждений по профилактике терроризма, экстремизма и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2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основы анализа финансово-хозяйственной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842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2) </w:t>
            </w:r>
            <w:r>
              <w:rPr>
                <w:rStyle w:val="848"/>
                <w:rFonts w:ascii="Times New Roman" w:hAnsi="Times New Roman"/>
                <w:color w:val="000000"/>
                <w:sz w:val="28"/>
                <w:szCs w:val="28"/>
              </w:rPr>
              <w:t xml:space="preserve">основы экономики, финансов, бюджетного учета и бюджетной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842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основы бухгалтерского и налогового учёта, аудита: сущность, основные задачи, организация ведения;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842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4) </w:t>
            </w:r>
            <w:r>
              <w:rPr>
                <w:rStyle w:val="848"/>
                <w:rFonts w:ascii="Times New Roman" w:hAnsi="Times New Roman"/>
                <w:color w:val="000000"/>
                <w:sz w:val="28"/>
                <w:szCs w:val="28"/>
              </w:rPr>
              <w:t xml:space="preserve">основы экономики, финансов, бюджетного учета и бюджетной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42"/>
              <w:ind w:left="0" w:firstLine="709"/>
              <w:jc w:val="both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Style w:val="848"/>
                <w:rFonts w:ascii="Times New Roman" w:hAnsi="Times New Roman"/>
                <w:color w:val="000000"/>
                <w:sz w:val="28"/>
                <w:szCs w:val="28"/>
              </w:rPr>
              <w:t xml:space="preserve">отчетности;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842"/>
              <w:ind w:left="0" w:firstLine="70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финансового планирования и прогнозирования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Normal"/>
    <w:next w:val="716"/>
    <w:link w:val="683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8" w:customStyle="1">
    <w:name w:val="fontstyle01"/>
    <w:next w:val="697"/>
    <w:link w:val="663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13</cp:revision>
  <dcterms:modified xsi:type="dcterms:W3CDTF">2026-02-03T09:16:08Z</dcterms:modified>
</cp:coreProperties>
</file>