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77777777"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в 2023 году (за отчетный 2022 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77777777" w:rsidR="004D5762" w:rsidRPr="002937E4" w:rsidRDefault="00CF22F2">
      <w:pPr>
        <w:pStyle w:val="af7"/>
        <w:numPr>
          <w:ilvl w:val="0"/>
          <w:numId w:val="9"/>
        </w:numPr>
        <w:tabs>
          <w:tab w:val="left" w:pos="426"/>
        </w:tabs>
        <w:ind w:left="0" w:firstLine="0"/>
        <w:jc w:val="center"/>
        <w:rPr>
          <w:rFonts w:ascii="Times New Roman" w:hAnsi="Times New Roman"/>
          <w:b/>
          <w:sz w:val="28"/>
          <w:szCs w:val="28"/>
        </w:rPr>
      </w:pPr>
      <w:r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pPr>
        <w:pStyle w:val="af7"/>
        <w:ind w:left="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77777777"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подпунктом 2 настоящего пункта);</w:t>
      </w:r>
    </w:p>
    <w:p w14:paraId="56DF5955" w14:textId="7B47EC0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в порядке, установленном законом субъекта Российской Федерации;</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0"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работниками государственных корпораций (компаний, публично-правовых компаний), государственных внебюджетных фондов,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1"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2"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уполномоченным по правам потребителей финансовых услуг (далее – финансовый уполномоченный),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должности муниципальной службы, включенной в перечни, утвержденные нормативными правовыми актами Российской Федерации;</w:t>
      </w:r>
    </w:p>
    <w:p w14:paraId="5092522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в государственных корпорациях (компаниях, публично-правовых компаниях), государственных внебюджетных фондах,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Pr="00E4439A" w:rsidRDefault="00CF22F2" w:rsidP="00466E69">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0663939D" w14:textId="77777777" w:rsidR="004D5762" w:rsidRPr="00C621E4" w:rsidRDefault="00421C65" w:rsidP="00466E69">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государственные должности Российской Федерации, государственные должности субъектов Российской Федерации, муниципальные должности, </w:t>
      </w:r>
      <w:r w:rsidR="00970EF1" w:rsidRPr="00C621E4">
        <w:rPr>
          <w:rFonts w:ascii="Times New Roman" w:hAnsi="Times New Roman"/>
          <w:sz w:val="28"/>
          <w:szCs w:val="28"/>
        </w:rPr>
        <w:t xml:space="preserve">должности государственной службы Российской Федерации, муниципальной службы </w:t>
      </w:r>
      <w:r w:rsidR="00CF22F2" w:rsidRPr="00C621E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621E4">
        <w:rPr>
          <w:rFonts w:ascii="Times New Roman" w:hAnsi="Times New Roman"/>
          <w:sz w:val="28"/>
          <w:szCs w:val="28"/>
        </w:rPr>
        <w:t>,</w:t>
      </w:r>
      <w:r w:rsidR="00CF22F2" w:rsidRPr="00C621E4">
        <w:rPr>
          <w:rFonts w:ascii="Times New Roman" w:hAnsi="Times New Roman"/>
          <w:sz w:val="28"/>
          <w:szCs w:val="28"/>
        </w:rPr>
        <w:t xml:space="preserve"> </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2023 года</w:t>
      </w:r>
      <w:r w:rsidR="00CF22F2" w:rsidRPr="00C621E4">
        <w:rPr>
          <w:rFonts w:ascii="Times New Roman" w:hAnsi="Times New Roman"/>
          <w:sz w:val="28"/>
          <w:szCs w:val="28"/>
        </w:rPr>
        <w:t>.</w:t>
      </w:r>
    </w:p>
    <w:p w14:paraId="3522B3F2" w14:textId="77777777" w:rsidR="00891356" w:rsidRPr="00C621E4" w:rsidRDefault="00421C65" w:rsidP="008E556F">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891356" w:rsidRPr="00C621E4">
        <w:rPr>
          <w:rFonts w:ascii="Times New Roman" w:hAnsi="Times New Roman"/>
          <w:sz w:val="28"/>
          <w:szCs w:val="28"/>
        </w:rPr>
        <w:t>ица</w:t>
      </w:r>
      <w:r w:rsidR="004F6179" w:rsidRPr="00C621E4">
        <w:rPr>
          <w:rFonts w:ascii="Times New Roman" w:hAnsi="Times New Roman"/>
          <w:sz w:val="28"/>
          <w:szCs w:val="28"/>
        </w:rPr>
        <w:t>,</w:t>
      </w:r>
      <w:r w:rsidR="00891356" w:rsidRPr="00C621E4">
        <w:rPr>
          <w:rFonts w:ascii="Times New Roman" w:hAnsi="Times New Roman"/>
          <w:sz w:val="28"/>
          <w:szCs w:val="28"/>
        </w:rPr>
        <w:t xml:space="preserve"> 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замещающи</w:t>
      </w:r>
      <w:r w:rsidRPr="00C621E4">
        <w:rPr>
          <w:rFonts w:ascii="Times New Roman" w:hAnsi="Times New Roman"/>
          <w:sz w:val="28"/>
          <w:szCs w:val="28"/>
        </w:rPr>
        <w:t>е</w:t>
      </w:r>
      <w:r w:rsidR="00891356" w:rsidRPr="00C621E4">
        <w:rPr>
          <w:rFonts w:ascii="Times New Roman" w:hAnsi="Times New Roman"/>
          <w:sz w:val="28"/>
          <w:szCs w:val="28"/>
        </w:rPr>
        <w:t xml:space="preserve"> должности в отдельных категориях организаций, расположенных на территориях Донецкой Народной Республики, Луганской Народной Республики, Запорожской области, Херсонской области, </w:t>
      </w:r>
      <w:r w:rsidRPr="00C621E4">
        <w:rPr>
          <w:rFonts w:ascii="Times New Roman" w:hAnsi="Times New Roman"/>
          <w:sz w:val="28"/>
          <w:szCs w:val="28"/>
        </w:rPr>
        <w:t>не представляют Сведения в рамках декларационной кампании 2023 года</w:t>
      </w:r>
      <w:r w:rsidR="00B503F0" w:rsidRPr="00C621E4">
        <w:rPr>
          <w:rFonts w:ascii="Times New Roman" w:hAnsi="Times New Roman"/>
          <w:sz w:val="28"/>
          <w:szCs w:val="28"/>
        </w:rPr>
        <w:t>.</w:t>
      </w:r>
    </w:p>
    <w:p w14:paraId="0F5E1BF3" w14:textId="77777777" w:rsidR="004D5762" w:rsidRDefault="00CF22F2" w:rsidP="0095434F">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замещающим должность государственной службы, не предусмотренную </w:t>
      </w:r>
      <w:hyperlink r:id="rId15"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w:t>
      </w:r>
      <w:r w:rsidRPr="008E556F">
        <w:rPr>
          <w:rFonts w:ascii="Times New Roman" w:hAnsi="Times New Roman"/>
          <w:sz w:val="28"/>
          <w:szCs w:val="28"/>
        </w:rPr>
        <w:lastRenderedPageBreak/>
        <w:t>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C621E4" w:rsidRDefault="000315CC" w:rsidP="00945AD8">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C621E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C621E4">
        <w:rPr>
          <w:rFonts w:ascii="Times New Roman" w:hAnsi="Times New Roman"/>
          <w:sz w:val="28"/>
          <w:szCs w:val="28"/>
        </w:rPr>
        <w:t xml:space="preserve"> (далее – военнослужащие, сотрудники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w:t>
      </w:r>
      <w:r w:rsidR="00421C65" w:rsidRPr="00C621E4">
        <w:rPr>
          <w:rFonts w:ascii="Times New Roman" w:hAnsi="Times New Roman"/>
          <w:sz w:val="28"/>
          <w:szCs w:val="28"/>
        </w:rPr>
        <w:t>лица)</w:t>
      </w:r>
      <w:r w:rsidR="0095434F" w:rsidRPr="00C621E4">
        <w:rPr>
          <w:rFonts w:ascii="Times New Roman" w:hAnsi="Times New Roman"/>
          <w:sz w:val="28"/>
          <w:szCs w:val="28"/>
        </w:rPr>
        <w:t>, замещающие должности федеральной государственной службы, не предусмотренные</w:t>
      </w:r>
      <w:r w:rsidR="00945AD8" w:rsidRPr="00C621E4">
        <w:rPr>
          <w:rFonts w:ascii="Times New Roman" w:hAnsi="Times New Roman"/>
          <w:sz w:val="28"/>
          <w:szCs w:val="28"/>
        </w:rPr>
        <w:t xml:space="preserve"> соответствующим</w:t>
      </w:r>
      <w:r w:rsidR="0095434F" w:rsidRPr="00C621E4">
        <w:rPr>
          <w:rFonts w:ascii="Times New Roman" w:hAnsi="Times New Roman"/>
          <w:sz w:val="28"/>
          <w:szCs w:val="28"/>
        </w:rPr>
        <w:t xml:space="preserve"> </w:t>
      </w:r>
      <w:r w:rsidR="00945AD8" w:rsidRPr="00C621E4">
        <w:rPr>
          <w:rFonts w:ascii="Times New Roman" w:hAnsi="Times New Roman"/>
          <w:sz w:val="28"/>
          <w:szCs w:val="28"/>
        </w:rPr>
        <w:t>перечнем</w:t>
      </w:r>
      <w:r w:rsidR="0095434F" w:rsidRPr="00C621E4">
        <w:rPr>
          <w:rFonts w:ascii="Times New Roman" w:hAnsi="Times New Roman"/>
          <w:sz w:val="28"/>
          <w:szCs w:val="28"/>
        </w:rPr>
        <w:t xml:space="preserve"> должностей</w:t>
      </w:r>
      <w:r w:rsidR="00FC0BED" w:rsidRPr="00C621E4">
        <w:rPr>
          <w:rFonts w:ascii="Times New Roman" w:hAnsi="Times New Roman"/>
          <w:sz w:val="28"/>
          <w:szCs w:val="28"/>
        </w:rPr>
        <w:t>,</w:t>
      </w:r>
      <w:r w:rsidR="0095434F" w:rsidRPr="00C621E4">
        <w:rPr>
          <w:rFonts w:ascii="Times New Roman" w:hAnsi="Times New Roman"/>
          <w:sz w:val="28"/>
          <w:szCs w:val="28"/>
        </w:rPr>
        <w:t xml:space="preserve"> </w:t>
      </w:r>
      <w:r w:rsidR="00945AD8" w:rsidRPr="00C621E4">
        <w:rPr>
          <w:rFonts w:ascii="Times New Roman" w:hAnsi="Times New Roman"/>
          <w:sz w:val="28"/>
          <w:szCs w:val="28"/>
        </w:rPr>
        <w:t>и</w:t>
      </w:r>
      <w:r w:rsidR="0095434F" w:rsidRPr="00C621E4">
        <w:rPr>
          <w:rFonts w:ascii="Times New Roman" w:hAnsi="Times New Roman"/>
          <w:sz w:val="28"/>
          <w:szCs w:val="28"/>
        </w:rPr>
        <w:t xml:space="preserve"> претендующие </w:t>
      </w:r>
      <w:r w:rsidR="00945AD8" w:rsidRPr="00C621E4">
        <w:rPr>
          <w:rFonts w:ascii="Times New Roman" w:hAnsi="Times New Roman"/>
          <w:sz w:val="28"/>
          <w:szCs w:val="28"/>
        </w:rPr>
        <w:t>н</w:t>
      </w:r>
      <w:r w:rsidR="0095434F" w:rsidRPr="00C621E4">
        <w:rPr>
          <w:rFonts w:ascii="Times New Roman" w:hAnsi="Times New Roman"/>
          <w:sz w:val="28"/>
          <w:szCs w:val="28"/>
        </w:rPr>
        <w:t xml:space="preserve">а замещение должностей </w:t>
      </w:r>
      <w:r w:rsidR="00945AD8" w:rsidRPr="00C621E4">
        <w:rPr>
          <w:rFonts w:ascii="Times New Roman" w:hAnsi="Times New Roman"/>
          <w:sz w:val="28"/>
          <w:szCs w:val="28"/>
        </w:rPr>
        <w:t>ф</w:t>
      </w:r>
      <w:r w:rsidR="0095434F" w:rsidRPr="00C621E4">
        <w:rPr>
          <w:rFonts w:ascii="Times New Roman" w:hAnsi="Times New Roman"/>
          <w:sz w:val="28"/>
          <w:szCs w:val="28"/>
        </w:rPr>
        <w:t xml:space="preserve">едеральной государственной службы, предусмотренных </w:t>
      </w:r>
      <w:r w:rsidR="00945AD8" w:rsidRPr="00C621E4">
        <w:rPr>
          <w:rFonts w:ascii="Times New Roman" w:hAnsi="Times New Roman"/>
          <w:sz w:val="28"/>
          <w:szCs w:val="28"/>
        </w:rPr>
        <w:t xml:space="preserve">таким перечнем, </w:t>
      </w:r>
      <w:r w:rsidR="00FC0BED" w:rsidRPr="00C621E4">
        <w:rPr>
          <w:rFonts w:ascii="Times New Roman" w:hAnsi="Times New Roman"/>
          <w:sz w:val="28"/>
          <w:szCs w:val="28"/>
        </w:rPr>
        <w:t>н</w:t>
      </w:r>
      <w:r w:rsidR="0095434F" w:rsidRPr="00C621E4">
        <w:rPr>
          <w:rFonts w:ascii="Times New Roman" w:hAnsi="Times New Roman"/>
          <w:sz w:val="28"/>
          <w:szCs w:val="28"/>
        </w:rPr>
        <w:t xml:space="preserve">е представляют </w:t>
      </w:r>
      <w:r w:rsidR="00945AD8" w:rsidRPr="00C621E4">
        <w:rPr>
          <w:rFonts w:ascii="Times New Roman" w:hAnsi="Times New Roman"/>
          <w:sz w:val="28"/>
          <w:szCs w:val="28"/>
        </w:rPr>
        <w:t>С</w:t>
      </w:r>
      <w:r w:rsidR="0095434F" w:rsidRPr="00C621E4">
        <w:rPr>
          <w:rFonts w:ascii="Times New Roman" w:hAnsi="Times New Roman"/>
          <w:sz w:val="28"/>
          <w:szCs w:val="28"/>
        </w:rPr>
        <w:t>ведения в случае если:</w:t>
      </w:r>
    </w:p>
    <w:p w14:paraId="74AA5AA9" w14:textId="78256F35" w:rsidR="0095434F" w:rsidRPr="00C621E4" w:rsidRDefault="0095434F" w:rsidP="00421C65">
      <w:pPr>
        <w:pStyle w:val="af7"/>
        <w:numPr>
          <w:ilvl w:val="1"/>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такие военнослужащие, сотрудники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w:t>
      </w:r>
      <w:r w:rsidRPr="00C621E4">
        <w:rPr>
          <w:rFonts w:ascii="Times New Roman" w:hAnsi="Times New Roman"/>
          <w:sz w:val="28"/>
          <w:szCs w:val="28"/>
        </w:rPr>
        <w:t>лица принимают</w:t>
      </w:r>
      <w:r w:rsidR="0053724A" w:rsidRPr="00C621E4">
        <w:rPr>
          <w:rFonts w:ascii="Times New Roman" w:hAnsi="Times New Roman"/>
          <w:sz w:val="28"/>
          <w:szCs w:val="28"/>
        </w:rPr>
        <w:t xml:space="preserve"> или </w:t>
      </w:r>
      <w:r w:rsidR="00FC0BED" w:rsidRPr="00C621E4">
        <w:rPr>
          <w:rFonts w:ascii="Times New Roman" w:hAnsi="Times New Roman"/>
          <w:sz w:val="28"/>
          <w:szCs w:val="28"/>
        </w:rPr>
        <w:t>принимали</w:t>
      </w:r>
      <w:r w:rsidR="0053724A" w:rsidRPr="00C621E4">
        <w:rPr>
          <w:rFonts w:ascii="Times New Roman" w:hAnsi="Times New Roman"/>
          <w:sz w:val="28"/>
          <w:szCs w:val="28"/>
        </w:rPr>
        <w:t xml:space="preserve"> </w:t>
      </w:r>
      <w:r w:rsidRPr="00C621E4">
        <w:rPr>
          <w:rFonts w:ascii="Times New Roman" w:hAnsi="Times New Roman"/>
          <w:sz w:val="28"/>
          <w:szCs w:val="28"/>
        </w:rPr>
        <w:t>участие в специальной военной операции или непосредственно выполняют</w:t>
      </w:r>
      <w:r w:rsidR="0053724A" w:rsidRPr="00C621E4">
        <w:rPr>
          <w:rFonts w:ascii="Times New Roman" w:hAnsi="Times New Roman"/>
          <w:sz w:val="28"/>
          <w:szCs w:val="28"/>
        </w:rPr>
        <w:t xml:space="preserve"> или </w:t>
      </w:r>
      <w:r w:rsidR="00FC0BED" w:rsidRPr="00C621E4">
        <w:rPr>
          <w:rFonts w:ascii="Times New Roman" w:hAnsi="Times New Roman"/>
          <w:sz w:val="28"/>
          <w:szCs w:val="28"/>
        </w:rPr>
        <w:t xml:space="preserve">выполняли </w:t>
      </w:r>
      <w:r w:rsidRPr="00C621E4">
        <w:rPr>
          <w:rFonts w:ascii="Times New Roman" w:hAnsi="Times New Roman"/>
          <w:sz w:val="28"/>
          <w:szCs w:val="28"/>
        </w:rPr>
        <w:t xml:space="preserve">задачи, связанные </w:t>
      </w:r>
      <w:r w:rsidR="00945AD8" w:rsidRPr="00C621E4">
        <w:rPr>
          <w:rFonts w:ascii="Times New Roman" w:hAnsi="Times New Roman"/>
          <w:sz w:val="28"/>
          <w:szCs w:val="28"/>
        </w:rPr>
        <w:t xml:space="preserve">с </w:t>
      </w:r>
      <w:r w:rsidRPr="00C621E4">
        <w:rPr>
          <w:rFonts w:ascii="Times New Roman" w:hAnsi="Times New Roman"/>
          <w:sz w:val="28"/>
          <w:szCs w:val="28"/>
        </w:rPr>
        <w:t>ее проведе</w:t>
      </w:r>
      <w:r w:rsidR="00945AD8" w:rsidRPr="00C621E4">
        <w:rPr>
          <w:rFonts w:ascii="Times New Roman" w:hAnsi="Times New Roman"/>
          <w:sz w:val="28"/>
          <w:szCs w:val="28"/>
        </w:rPr>
        <w:t xml:space="preserve">нием, на территориях Донецкой </w:t>
      </w:r>
      <w:r w:rsidRPr="00C621E4">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0053724A" w:rsidRPr="00C621E4">
        <w:rPr>
          <w:rFonts w:ascii="Times New Roman" w:hAnsi="Times New Roman"/>
          <w:sz w:val="28"/>
          <w:szCs w:val="28"/>
        </w:rPr>
        <w:t xml:space="preserve"> (вне зависимости от продолжительности и периода участия (выполнения задач)</w:t>
      </w:r>
      <w:r w:rsidRPr="00C621E4">
        <w:rPr>
          <w:rFonts w:ascii="Times New Roman" w:hAnsi="Times New Roman"/>
          <w:sz w:val="28"/>
          <w:szCs w:val="28"/>
        </w:rPr>
        <w:t>;</w:t>
      </w:r>
    </w:p>
    <w:p w14:paraId="4664F2AD" w14:textId="77777777" w:rsidR="00FC0BED" w:rsidRPr="00C621E4" w:rsidRDefault="00945AD8" w:rsidP="00421C65">
      <w:pPr>
        <w:pStyle w:val="af7"/>
        <w:numPr>
          <w:ilvl w:val="1"/>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планируется участие таких военнослужащих, сотрудников</w:t>
      </w:r>
      <w:r w:rsidR="00421C65" w:rsidRPr="00C621E4">
        <w:rPr>
          <w:rFonts w:ascii="Times New Roman" w:hAnsi="Times New Roman"/>
          <w:sz w:val="28"/>
          <w:szCs w:val="28"/>
        </w:rPr>
        <w:t xml:space="preserve"> и</w:t>
      </w:r>
      <w:r w:rsidRPr="00C621E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C621E4">
        <w:t xml:space="preserve"> </w:t>
      </w:r>
      <w:r w:rsidRPr="00C621E4">
        <w:rPr>
          <w:rFonts w:ascii="Times New Roman" w:hAnsi="Times New Roman"/>
          <w:sz w:val="28"/>
          <w:szCs w:val="28"/>
        </w:rPr>
        <w:t>Народной Республики, Луганской Народной Республики, Запорожской области</w:t>
      </w:r>
      <w:r w:rsidR="00421C65" w:rsidRPr="00C621E4">
        <w:rPr>
          <w:rFonts w:ascii="Times New Roman" w:hAnsi="Times New Roman"/>
          <w:sz w:val="28"/>
          <w:szCs w:val="28"/>
        </w:rPr>
        <w:t>, Херсонской области и Украины (если планируемое участие не состоялось и (или) отменено, данный подпункт не применяется).</w:t>
      </w:r>
    </w:p>
    <w:p w14:paraId="29BEC10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Обязательность представления Сведений</w:t>
      </w:r>
    </w:p>
    <w:p w14:paraId="15FFC56B" w14:textId="0102CE21"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антикоррупционным законодательством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0E4132EC" w14:textId="77777777"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w:t>
      </w:r>
      <w:r w:rsidR="0095434F" w:rsidRPr="00C621E4">
        <w:rPr>
          <w:rFonts w:ascii="Times New Roman" w:hAnsi="Times New Roman"/>
          <w:sz w:val="28"/>
          <w:szCs w:val="28"/>
        </w:rPr>
        <w:lastRenderedPageBreak/>
        <w:t xml:space="preserve">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24D2D8DB" w14:textId="77777777" w:rsidR="001F7B71" w:rsidRPr="00C621E4"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0D81CF9F" w:rsidR="001F7B71"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71EB6F66"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663E4F8C"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sidR="007A1B69">
        <w:rPr>
          <w:rFonts w:ascii="Times New Roman" w:hAnsi="Times New Roman"/>
          <w:sz w:val="28"/>
          <w:szCs w:val="28"/>
        </w:rPr>
        <w:t>12</w:t>
      </w:r>
      <w:r w:rsidRPr="00C621E4">
        <w:rPr>
          <w:rFonts w:ascii="Times New Roman" w:hAnsi="Times New Roman"/>
          <w:sz w:val="28"/>
          <w:szCs w:val="28"/>
        </w:rPr>
        <w:t xml:space="preserve"> настоящих Методических рекомендаций.</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Pr="002937E4"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государственных корпораций (компаний, публично-правовых компаний), государственных внебюджетных фондов,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3997F11B"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10</w:t>
      </w:r>
      <w:r w:rsidRPr="00C621E4">
        <w:rPr>
          <w:rFonts w:ascii="Times New Roman" w:hAnsi="Times New Roman"/>
          <w:sz w:val="28"/>
          <w:szCs w:val="28"/>
        </w:rPr>
        <w:t xml:space="preserve"> настоящих Методический рекомендаций.</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lastRenderedPageBreak/>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1EBDC945"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14:paraId="65D6CDD5" w14:textId="0B9F4806"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0525D0">
        <w:rPr>
          <w:rFonts w:ascii="Times New Roman" w:hAnsi="Times New Roman"/>
          <w:sz w:val="28"/>
          <w:szCs w:val="28"/>
        </w:rPr>
        <w:t>18</w:t>
      </w:r>
      <w:r w:rsidRPr="00BB6F00">
        <w:rPr>
          <w:rFonts w:ascii="Times New Roman" w:hAnsi="Times New Roman"/>
          <w:sz w:val="28"/>
          <w:szCs w:val="28"/>
        </w:rPr>
        <w:t xml:space="preserve"> настоящих Методических рекомендаций.</w:t>
      </w:r>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lastRenderedPageBreak/>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Представление Сведений после увольнения служащего (работника) в период с 1 января по 1 (30) апреля 2023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w:t>
      </w:r>
      <w:r w:rsidRPr="002937E4">
        <w:rPr>
          <w:rFonts w:ascii="Times New Roman" w:hAnsi="Times New Roman"/>
          <w:sz w:val="28"/>
          <w:szCs w:val="28"/>
        </w:rPr>
        <w:lastRenderedPageBreak/>
        <w:t>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2023 году </w:t>
            </w:r>
            <w:r w:rsidRPr="002937E4">
              <w:rPr>
                <w:rFonts w:ascii="Times New Roman" w:hAnsi="Times New Roman"/>
                <w:sz w:val="28"/>
                <w:szCs w:val="28"/>
              </w:rPr>
              <w:br/>
              <w:t>(за отчетный 2022 г.)</w:t>
            </w:r>
          </w:p>
        </w:tc>
      </w:tr>
      <w:tr w:rsidR="004D5762" w:rsidRPr="002937E4" w14:paraId="74996472" w14:textId="77777777">
        <w:tc>
          <w:tcPr>
            <w:tcW w:w="3119" w:type="dxa"/>
            <w:shd w:val="clear" w:color="auto" w:fill="auto"/>
          </w:tcPr>
          <w:p w14:paraId="5AFB131C" w14:textId="77777777"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Брак заключен в органах записи актов гражданского состояния (далее – ЗАГС) в ноябре 2022 года</w:t>
            </w:r>
          </w:p>
        </w:tc>
        <w:tc>
          <w:tcPr>
            <w:tcW w:w="7229" w:type="dxa"/>
            <w:shd w:val="clear" w:color="auto" w:fill="auto"/>
          </w:tcPr>
          <w:p w14:paraId="6D1909C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супруги (супруга) представляются, поскольку по состоянию на отчетную дату (31 декабря 2022 года) служащий (работник) состоял в браке</w:t>
            </w:r>
          </w:p>
        </w:tc>
      </w:tr>
      <w:tr w:rsidR="004D5762" w:rsidRPr="002937E4" w14:paraId="20E85CFA" w14:textId="77777777">
        <w:tc>
          <w:tcPr>
            <w:tcW w:w="3119" w:type="dxa"/>
            <w:shd w:val="clear" w:color="auto" w:fill="auto"/>
          </w:tcPr>
          <w:p w14:paraId="3BAF502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Брак заключен в ЗАГСе в марте 2023 года</w:t>
            </w:r>
          </w:p>
        </w:tc>
        <w:tc>
          <w:tcPr>
            <w:tcW w:w="7229" w:type="dxa"/>
            <w:shd w:val="clear" w:color="auto" w:fill="auto"/>
          </w:tcPr>
          <w:p w14:paraId="4FA2501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2022 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14:paraId="48318F89" w14:textId="77777777">
        <w:trPr>
          <w:trHeight w:val="660"/>
        </w:trPr>
        <w:tc>
          <w:tcPr>
            <w:tcW w:w="3119" w:type="dxa"/>
            <w:shd w:val="clear" w:color="auto" w:fill="auto"/>
          </w:tcPr>
          <w:p w14:paraId="3684BF75"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Брак заключен 1 февраля 2023 года</w:t>
            </w:r>
          </w:p>
        </w:tc>
        <w:tc>
          <w:tcPr>
            <w:tcW w:w="7229" w:type="dxa"/>
            <w:shd w:val="clear" w:color="auto" w:fill="auto"/>
          </w:tcPr>
          <w:p w14:paraId="1DB1C725"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представляются, поскольку по состоянию на отчетную дату (1 августа 2023 года) гражданин состоял в браке</w:t>
            </w:r>
          </w:p>
        </w:tc>
      </w:tr>
      <w:tr w:rsidR="004D5762" w:rsidRPr="002937E4" w14:paraId="1AF10466" w14:textId="77777777">
        <w:trPr>
          <w:trHeight w:val="131"/>
        </w:trPr>
        <w:tc>
          <w:tcPr>
            <w:tcW w:w="3119" w:type="dxa"/>
            <w:shd w:val="clear" w:color="auto" w:fill="auto"/>
          </w:tcPr>
          <w:p w14:paraId="305C6458"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Брак заключен 2 августа 2023 года</w:t>
            </w:r>
          </w:p>
        </w:tc>
        <w:tc>
          <w:tcPr>
            <w:tcW w:w="7229" w:type="dxa"/>
            <w:shd w:val="clear" w:color="auto" w:fill="auto"/>
          </w:tcPr>
          <w:p w14:paraId="63825B2F"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не представляются, поскольку по состоянию на отчетную дату (1 августа 2023 года) гражданин еще не вступил в брак</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Пример: служащий (работник) представляет Сведения в 2023 году (за отчетный 2022 г.)</w:t>
            </w:r>
          </w:p>
        </w:tc>
      </w:tr>
      <w:tr w:rsidR="004D5762" w:rsidRPr="002937E4" w14:paraId="42AAEDE5" w14:textId="77777777">
        <w:trPr>
          <w:trHeight w:val="435"/>
        </w:trPr>
        <w:tc>
          <w:tcPr>
            <w:tcW w:w="3147" w:type="dxa"/>
          </w:tcPr>
          <w:p w14:paraId="49B86A9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Брак был расторгнут в ЗАГСе в ноябре 2022 года</w:t>
            </w:r>
          </w:p>
        </w:tc>
        <w:tc>
          <w:tcPr>
            <w:tcW w:w="7201" w:type="dxa"/>
          </w:tcPr>
          <w:p w14:paraId="42DD665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(31 декабря 2022 года) служащий (работник) не состоял в браке</w:t>
            </w:r>
          </w:p>
        </w:tc>
      </w:tr>
      <w:tr w:rsidR="004D5762" w:rsidRPr="002937E4" w14:paraId="3082C472" w14:textId="77777777">
        <w:trPr>
          <w:trHeight w:val="435"/>
        </w:trPr>
        <w:tc>
          <w:tcPr>
            <w:tcW w:w="3147" w:type="dxa"/>
          </w:tcPr>
          <w:p w14:paraId="3275341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12 декабря 2022 года и вступило в законную силу 12 января 2023 года</w:t>
            </w:r>
          </w:p>
        </w:tc>
        <w:tc>
          <w:tcPr>
            <w:tcW w:w="7201" w:type="dxa"/>
          </w:tcPr>
          <w:p w14:paraId="555B742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2023 года. Таким образом, по состоянию на отчетную дату (31 декабря 2022 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2023 года </w:t>
            </w:r>
          </w:p>
        </w:tc>
        <w:tc>
          <w:tcPr>
            <w:tcW w:w="7201" w:type="dxa"/>
          </w:tcPr>
          <w:p w14:paraId="419CDFA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(31 декабря 2022 года) служащий (работник) состоял в браке</w:t>
            </w:r>
          </w:p>
        </w:tc>
      </w:tr>
      <w:tr w:rsidR="004D5762" w:rsidRPr="002937E4" w14:paraId="05825972" w14:textId="77777777">
        <w:trPr>
          <w:trHeight w:val="435"/>
        </w:trPr>
        <w:tc>
          <w:tcPr>
            <w:tcW w:w="10348" w:type="dxa"/>
            <w:gridSpan w:val="2"/>
          </w:tcPr>
          <w:p w14:paraId="30714C2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14:paraId="5D56BBE2" w14:textId="77777777">
        <w:trPr>
          <w:trHeight w:val="435"/>
        </w:trPr>
        <w:tc>
          <w:tcPr>
            <w:tcW w:w="3147" w:type="dxa"/>
          </w:tcPr>
          <w:p w14:paraId="74AE1A8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Брак был расторгнут в ЗАГСе 1 июля 2023 года</w:t>
            </w:r>
          </w:p>
        </w:tc>
        <w:tc>
          <w:tcPr>
            <w:tcW w:w="7201" w:type="dxa"/>
          </w:tcPr>
          <w:p w14:paraId="563C2B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(1 августа 2023 года) гражданин не состоял в браке</w:t>
            </w:r>
          </w:p>
        </w:tc>
      </w:tr>
      <w:tr w:rsidR="004D5762" w:rsidRPr="002937E4" w14:paraId="3ECB9E7F" w14:textId="77777777">
        <w:trPr>
          <w:trHeight w:val="435"/>
        </w:trPr>
        <w:tc>
          <w:tcPr>
            <w:tcW w:w="3147" w:type="dxa"/>
          </w:tcPr>
          <w:p w14:paraId="6372B7CC"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2023 года </w:t>
            </w:r>
          </w:p>
        </w:tc>
        <w:tc>
          <w:tcPr>
            <w:tcW w:w="7201" w:type="dxa"/>
          </w:tcPr>
          <w:p w14:paraId="4302002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(1 августа 2023 года) гражданин состоял в браке</w:t>
            </w:r>
          </w:p>
        </w:tc>
      </w:tr>
      <w:tr w:rsidR="004D5762" w:rsidRPr="002937E4" w14:paraId="6BC84C11" w14:textId="77777777">
        <w:trPr>
          <w:trHeight w:val="435"/>
        </w:trPr>
        <w:tc>
          <w:tcPr>
            <w:tcW w:w="3147" w:type="dxa"/>
          </w:tcPr>
          <w:p w14:paraId="248C43E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4 июля 2023 года и вступило в законную силу 4 августа 2023 г.</w:t>
            </w:r>
          </w:p>
        </w:tc>
        <w:tc>
          <w:tcPr>
            <w:tcW w:w="7201" w:type="dxa"/>
          </w:tcPr>
          <w:p w14:paraId="3416DA7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2023 года. Таким образом, по состоянию на отчетную дату (1 августа 2023 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Pr="00C621E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8F47576" w14:textId="67C028D7" w:rsidR="00590914" w:rsidRPr="00BB6F00" w:rsidRDefault="00590914" w:rsidP="00FC46E1">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 xml:space="preserve">Непредставление Сведений в отношении своей супруги (супруга), указанной </w:t>
      </w:r>
      <w:r w:rsidRPr="00BB6F00">
        <w:rPr>
          <w:rFonts w:ascii="Times New Roman" w:hAnsi="Times New Roman"/>
          <w:sz w:val="28"/>
          <w:szCs w:val="28"/>
        </w:rPr>
        <w:t xml:space="preserve">в пункте </w:t>
      </w:r>
      <w:r w:rsidR="007A1B69">
        <w:rPr>
          <w:rFonts w:ascii="Times New Roman" w:hAnsi="Times New Roman"/>
          <w:sz w:val="28"/>
          <w:szCs w:val="28"/>
        </w:rPr>
        <w:t>27</w:t>
      </w:r>
      <w:r w:rsidRPr="00BB6F00">
        <w:rPr>
          <w:rFonts w:ascii="Times New Roman" w:hAnsi="Times New Roman"/>
          <w:sz w:val="28"/>
          <w:szCs w:val="28"/>
        </w:rPr>
        <w:t xml:space="preserve"> настоящих Методических рекомендаций:</w:t>
      </w:r>
    </w:p>
    <w:p w14:paraId="754AF2A0" w14:textId="5A2100AF" w:rsidR="00590914" w:rsidRPr="00C621E4" w:rsidRDefault="00590914" w:rsidP="00FC46E1">
      <w:pPr>
        <w:pStyle w:val="af7"/>
        <w:tabs>
          <w:tab w:val="left" w:pos="1134"/>
        </w:tabs>
        <w:ind w:left="0" w:firstLine="567"/>
        <w:rPr>
          <w:rFonts w:ascii="Times New Roman" w:hAnsi="Times New Roman"/>
          <w:sz w:val="28"/>
          <w:szCs w:val="28"/>
        </w:rPr>
      </w:pPr>
      <w:r w:rsidRPr="00BB6F00">
        <w:rPr>
          <w:rFonts w:ascii="Times New Roman" w:hAnsi="Times New Roman"/>
          <w:sz w:val="28"/>
          <w:szCs w:val="28"/>
        </w:rPr>
        <w:t>1) служащим (работником</w:t>
      </w:r>
      <w:r w:rsidRPr="00C621E4">
        <w:rPr>
          <w:rFonts w:ascii="Times New Roman" w:hAnsi="Times New Roman"/>
          <w:sz w:val="28"/>
          <w:szCs w:val="28"/>
        </w:rPr>
        <w:t>) в ситуациях, предусмотренных пунктом 1 настоящих Методических рекомендаций,</w:t>
      </w:r>
      <w:r w:rsidR="00FC46E1" w:rsidRPr="00C621E4">
        <w:rPr>
          <w:rFonts w:ascii="Times New Roman" w:hAnsi="Times New Roman"/>
          <w:sz w:val="28"/>
          <w:szCs w:val="28"/>
        </w:rPr>
        <w:t xml:space="preserve"> не требует направления и соответствующего рассмотрения заявления, </w:t>
      </w:r>
      <w:r w:rsidR="00FC46E1" w:rsidRPr="00BB6F00">
        <w:rPr>
          <w:rFonts w:ascii="Times New Roman" w:hAnsi="Times New Roman"/>
          <w:sz w:val="28"/>
          <w:szCs w:val="28"/>
        </w:rPr>
        <w:t xml:space="preserve">предусмотренного пунктом </w:t>
      </w:r>
      <w:r w:rsidR="007A1B69">
        <w:rPr>
          <w:rFonts w:ascii="Times New Roman" w:hAnsi="Times New Roman"/>
          <w:sz w:val="28"/>
          <w:szCs w:val="28"/>
        </w:rPr>
        <w:t>39</w:t>
      </w:r>
      <w:r w:rsidR="00FC46E1" w:rsidRPr="00C621E4">
        <w:rPr>
          <w:rFonts w:ascii="Times New Roman" w:hAnsi="Times New Roman"/>
          <w:sz w:val="28"/>
          <w:szCs w:val="28"/>
        </w:rPr>
        <w:t xml:space="preserve"> настоящих Методических рекомендаций;</w:t>
      </w:r>
    </w:p>
    <w:p w14:paraId="574ADE42" w14:textId="77777777" w:rsidR="00590914" w:rsidRPr="00C621E4" w:rsidRDefault="00590914" w:rsidP="00FC46E1">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гражданином в ситуациях, предусмотренных пунктом 2 настоящих Методических рекомендаций, не может являться основанием для от</w:t>
      </w:r>
      <w:r w:rsidR="00FC46E1" w:rsidRPr="00C621E4">
        <w:rPr>
          <w:rFonts w:ascii="Times New Roman" w:hAnsi="Times New Roman"/>
          <w:sz w:val="28"/>
          <w:szCs w:val="28"/>
        </w:rPr>
        <w:t>каза в поступлении (назначении);</w:t>
      </w:r>
    </w:p>
    <w:p w14:paraId="6E3D66CF" w14:textId="77777777" w:rsidR="00FC46E1" w:rsidRPr="00C621E4" w:rsidRDefault="00FC46E1" w:rsidP="00FC46E1">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 xml:space="preserve">3) служащим (работником) в ситуациях, предусмотренных пунктом 4 настоящих Методических рекомендаций, не может являться основанием для отказа </w:t>
      </w:r>
      <w:r w:rsidR="00725E0A" w:rsidRPr="00C621E4">
        <w:rPr>
          <w:rFonts w:ascii="Times New Roman" w:hAnsi="Times New Roman"/>
          <w:sz w:val="28"/>
          <w:szCs w:val="28"/>
        </w:rPr>
        <w:t xml:space="preserve">в </w:t>
      </w:r>
      <w:r w:rsidRPr="00C621E4">
        <w:rPr>
          <w:rFonts w:ascii="Times New Roman" w:hAnsi="Times New Roman"/>
          <w:sz w:val="28"/>
          <w:szCs w:val="28"/>
        </w:rPr>
        <w:t>назначении.</w:t>
      </w:r>
    </w:p>
    <w:p w14:paraId="449E156D" w14:textId="77777777" w:rsidR="005C1C7A" w:rsidRPr="005C1C7A" w:rsidRDefault="005C1C7A" w:rsidP="00FC46E1">
      <w:pPr>
        <w:tabs>
          <w:tab w:val="left" w:pos="1134"/>
        </w:tabs>
        <w:ind w:firstLine="0"/>
        <w:rPr>
          <w:rFonts w:ascii="Times New Roman" w:hAnsi="Times New Roman"/>
          <w:sz w:val="28"/>
          <w:szCs w:val="28"/>
        </w:rPr>
      </w:pP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77777777" w:rsidR="004D5762" w:rsidRPr="002937E4" w:rsidRDefault="004D5762">
      <w:pPr>
        <w:ind w:firstLine="567"/>
        <w:rPr>
          <w:rFonts w:ascii="Times New Roman" w:hAnsi="Times New Roman"/>
          <w:sz w:val="28"/>
          <w:szCs w:val="28"/>
        </w:rPr>
      </w:pP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служащий (работник) представляет Сведения в 2023 году (за отчетный 2022 г.)</w:t>
            </w:r>
          </w:p>
        </w:tc>
      </w:tr>
      <w:tr w:rsidR="004D5762" w:rsidRPr="002937E4" w14:paraId="16AAA76A" w14:textId="77777777">
        <w:trPr>
          <w:trHeight w:val="435"/>
        </w:trPr>
        <w:tc>
          <w:tcPr>
            <w:tcW w:w="3119" w:type="dxa"/>
          </w:tcPr>
          <w:p w14:paraId="4B91D2B6"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Дочери служащего (работника) 21 мая 2022 года исполнилось 18 лет</w:t>
            </w:r>
          </w:p>
        </w:tc>
        <w:tc>
          <w:tcPr>
            <w:tcW w:w="7229" w:type="dxa"/>
          </w:tcPr>
          <w:p w14:paraId="344D5B0C"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Дочери служащего (работника) 30 декабря 2022 года исполнилось 18 лет</w:t>
            </w:r>
          </w:p>
        </w:tc>
        <w:tc>
          <w:tcPr>
            <w:tcW w:w="7229" w:type="dxa"/>
          </w:tcPr>
          <w:p w14:paraId="17145D0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Дочери служащего (работника) 31 декабря 2022 года исполнилось 18 лет</w:t>
            </w:r>
          </w:p>
        </w:tc>
        <w:tc>
          <w:tcPr>
            <w:tcW w:w="7229" w:type="dxa"/>
          </w:tcPr>
          <w:p w14:paraId="48A1127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2023 года. Таким образом, по состоянию на </w:t>
            </w:r>
            <w:r w:rsidRPr="002937E4">
              <w:rPr>
                <w:rFonts w:ascii="Times New Roman" w:hAnsi="Times New Roman"/>
                <w:sz w:val="28"/>
                <w:szCs w:val="28"/>
              </w:rPr>
              <w:lastRenderedPageBreak/>
              <w:t>отчетную дату (31 декабря 2022 года) она еще являлась несовершеннолетней</w:t>
            </w:r>
          </w:p>
        </w:tc>
      </w:tr>
      <w:tr w:rsidR="004D5762" w:rsidRPr="002937E4" w14:paraId="1FB09322" w14:textId="77777777">
        <w:trPr>
          <w:trHeight w:val="435"/>
        </w:trPr>
        <w:tc>
          <w:tcPr>
            <w:tcW w:w="10348" w:type="dxa"/>
            <w:gridSpan w:val="2"/>
          </w:tcPr>
          <w:p w14:paraId="3889F60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Пример: гражданин представляет в сентябре 2023 года Сведения в связи с назначением на должность. Отчетной датой является 1 августа 2023 года</w:t>
            </w:r>
          </w:p>
        </w:tc>
      </w:tr>
      <w:tr w:rsidR="004D5762" w:rsidRPr="002937E4" w14:paraId="291E66A0" w14:textId="77777777">
        <w:trPr>
          <w:trHeight w:val="435"/>
        </w:trPr>
        <w:tc>
          <w:tcPr>
            <w:tcW w:w="3119" w:type="dxa"/>
          </w:tcPr>
          <w:p w14:paraId="54094D5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5 мая 2023 года исполнилось 18 лет</w:t>
            </w:r>
          </w:p>
        </w:tc>
        <w:tc>
          <w:tcPr>
            <w:tcW w:w="7229" w:type="dxa"/>
          </w:tcPr>
          <w:p w14:paraId="03E952E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не представляются, поскольку он являлся совершеннолетним и по состоянию на отчетную дату (1 августа 2023 года) сыну гражданина уже исполнилось 18 лет</w:t>
            </w:r>
          </w:p>
        </w:tc>
      </w:tr>
      <w:tr w:rsidR="004D5762" w:rsidRPr="002937E4" w14:paraId="68B43826" w14:textId="77777777">
        <w:trPr>
          <w:trHeight w:val="435"/>
        </w:trPr>
        <w:tc>
          <w:tcPr>
            <w:tcW w:w="3119" w:type="dxa"/>
          </w:tcPr>
          <w:p w14:paraId="0E53C186"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 августа 2023 года исполнилось 18 лет</w:t>
            </w:r>
          </w:p>
        </w:tc>
        <w:tc>
          <w:tcPr>
            <w:tcW w:w="7229" w:type="dxa"/>
          </w:tcPr>
          <w:p w14:paraId="3E33EA6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2023 года. Таким образом, по состоянию на отчетную дату (1 августа 2023 года) он еще являлся несовершеннолетним</w:t>
            </w:r>
          </w:p>
        </w:tc>
      </w:tr>
      <w:tr w:rsidR="004D5762" w:rsidRPr="002937E4" w14:paraId="12E06030" w14:textId="77777777">
        <w:trPr>
          <w:trHeight w:val="435"/>
        </w:trPr>
        <w:tc>
          <w:tcPr>
            <w:tcW w:w="3119" w:type="dxa"/>
          </w:tcPr>
          <w:p w14:paraId="64DAF5A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17 августа 2023 года исполнилось 18 лет</w:t>
            </w:r>
          </w:p>
        </w:tc>
        <w:tc>
          <w:tcPr>
            <w:tcW w:w="7229" w:type="dxa"/>
          </w:tcPr>
          <w:p w14:paraId="3F0DE39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2023 года) сын гражданина являлся несовершеннолетним </w:t>
            </w:r>
          </w:p>
        </w:tc>
      </w:tr>
    </w:tbl>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77777777"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служащему (работнику) рекомендуется к представляемой в 2023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xml:space="preserve">, ситуации, связанные с </w:t>
      </w:r>
      <w:r w:rsidR="008621DE" w:rsidRPr="006848CC">
        <w:rPr>
          <w:rFonts w:ascii="Times New Roman" w:hAnsi="Times New Roman"/>
          <w:sz w:val="28"/>
          <w:szCs w:val="28"/>
        </w:rPr>
        <w:lastRenderedPageBreak/>
        <w:t>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отрытого в 2021 году, но не отраженного в справке, представленной в рамках декларационной кампании 2022 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77777777"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Рекомендуемые действия при невозможности представить Сведения в отношении члена семьи</w:t>
      </w:r>
    </w:p>
    <w:p w14:paraId="61E699F7" w14:textId="77777777" w:rsidR="004D5762" w:rsidRPr="002937E4"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66AD7B69" w14:textId="77777777"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Управление Президента Российской Федерации по вопросам противодействия коррупции</w:t>
            </w:r>
          </w:p>
        </w:tc>
        <w:tc>
          <w:tcPr>
            <w:tcW w:w="7125" w:type="dxa"/>
            <w:shd w:val="clear" w:color="auto" w:fill="auto"/>
          </w:tcPr>
          <w:p w14:paraId="39446ABB"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государственного внебюджетного фонда, </w:t>
            </w:r>
            <w:r w:rsidRPr="002937E4">
              <w:rPr>
                <w:rFonts w:ascii="Times New Roman" w:hAnsi="Times New Roman"/>
                <w:sz w:val="28"/>
                <w:szCs w:val="28"/>
              </w:rPr>
              <w:lastRenderedPageBreak/>
              <w:t>государственной корпорации (компании, публично-правовой компании),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77777777" w:rsidR="004D5762" w:rsidRPr="002937E4" w:rsidRDefault="00CF22F2">
            <w:pPr>
              <w:ind w:firstLine="33"/>
              <w:rPr>
                <w:rFonts w:ascii="Times New Roman" w:hAnsi="Times New Roman"/>
                <w:sz w:val="28"/>
                <w:szCs w:val="28"/>
              </w:rPr>
            </w:pPr>
            <w:r w:rsidRPr="002937E4">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77777777" w:rsidR="004D5762" w:rsidRPr="002937E4" w:rsidRDefault="00CF22F2">
            <w:pPr>
              <w:ind w:firstLine="33"/>
              <w:rPr>
                <w:rFonts w:ascii="Times New Roman" w:hAnsi="Times New Roman"/>
                <w:sz w:val="28"/>
                <w:szCs w:val="28"/>
              </w:rPr>
            </w:pPr>
            <w:r w:rsidRPr="002937E4">
              <w:rPr>
                <w:rFonts w:ascii="Times New Roman" w:hAnsi="Times New Roman"/>
                <w:sz w:val="28"/>
                <w:szCs w:val="28"/>
              </w:rPr>
              <w:t>атаманами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6848CC" w:rsidRDefault="00CF22F2" w:rsidP="006848C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77777777" w:rsidR="004D5762" w:rsidRPr="006848CC" w:rsidRDefault="007C2739" w:rsidP="006848CC">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заявления о невозможности сообщить высшему должностному лицу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частью 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субъекта Российской Федерации.</w:t>
      </w:r>
    </w:p>
    <w:p w14:paraId="7446B220" w14:textId="3ADF01AE" w:rsidR="004D5762"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572C7514" w14:textId="77777777" w:rsidR="004D5762" w:rsidRPr="002937E4" w:rsidRDefault="004D5762">
      <w:pPr>
        <w:ind w:firstLine="851"/>
        <w:rPr>
          <w:rFonts w:ascii="Times New Roman" w:hAnsi="Times New Roman"/>
          <w:sz w:val="28"/>
          <w:szCs w:val="28"/>
        </w:rPr>
      </w:pPr>
    </w:p>
    <w:p w14:paraId="5F94590E" w14:textId="77777777" w:rsidR="004D5762" w:rsidRPr="002937E4" w:rsidRDefault="00CF22F2">
      <w:pPr>
        <w:ind w:firstLine="851"/>
        <w:jc w:val="center"/>
        <w:rPr>
          <w:rFonts w:ascii="Times New Roman" w:hAnsi="Times New Roman"/>
          <w:b/>
          <w:sz w:val="28"/>
          <w:szCs w:val="28"/>
        </w:rPr>
      </w:pPr>
      <w:r w:rsidRPr="002937E4">
        <w:rPr>
          <w:rFonts w:ascii="Times New Roman" w:hAnsi="Times New Roman"/>
          <w:b/>
          <w:sz w:val="28"/>
          <w:szCs w:val="28"/>
          <w:lang w:val="en-US"/>
        </w:rPr>
        <w:lastRenderedPageBreak/>
        <w:t>II</w:t>
      </w:r>
      <w:r w:rsidRPr="002937E4">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14:paraId="6FA18B6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К справке могут быть приложены любые документы, в том числе пояснения служащего (работника). При этом разделами 2 и 4 справки предусмотрены случаи, при которых к справке в обязательном порядке прилагаются соответствующие документы. В иных случаях приложение является правом служащего (работника).</w:t>
      </w:r>
    </w:p>
    <w:p w14:paraId="236D2298" w14:textId="185041BC"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16"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7"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76130492" w14:textId="77777777" w:rsidR="004D5762" w:rsidRPr="002937E4" w:rsidRDefault="00CF22F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2937E4">
        <w:rPr>
          <w:rFonts w:ascii="Times New Roman" w:hAnsi="Times New Roman"/>
          <w:sz w:val="28"/>
          <w:szCs w:val="28"/>
        </w:rPr>
        <w:t>Лицу, представляющему справки, рекомендуется распечатать и подписать справки в течение одного дня (одной датой).</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7777777"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7777777" w:rsidR="00041000" w:rsidRPr="006848CC" w:rsidRDefault="00041000" w:rsidP="006D6F6F">
      <w:pPr>
        <w:pStyle w:val="af7"/>
        <w:numPr>
          <w:ilvl w:val="0"/>
          <w:numId w:val="1"/>
        </w:numPr>
        <w:tabs>
          <w:tab w:val="left" w:pos="1134"/>
        </w:tabs>
        <w:ind w:left="0" w:firstLine="567"/>
        <w:rPr>
          <w:rFonts w:ascii="Times New Roman" w:hAnsi="Times New Roman"/>
          <w:sz w:val="28"/>
          <w:szCs w:val="28"/>
        </w:rPr>
      </w:pPr>
      <w:r w:rsidRPr="006848CC">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отчетную дату. Сведения об официальных курсах валют на заданную дату, устанавливаемых Банком России, размещены на его официальном сайте: </w:t>
      </w:r>
      <w:hyperlink r:id="rId18"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7777777"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7777777"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w:t>
      </w:r>
      <w:r w:rsidRPr="006848CC">
        <w:rPr>
          <w:rStyle w:val="af5"/>
          <w:rFonts w:ascii="Times New Roman" w:hAnsi="Times New Roman" w:cs="Times New Roman"/>
          <w:color w:val="000000"/>
          <w:sz w:val="28"/>
          <w:szCs w:val="28"/>
        </w:rPr>
        <w:lastRenderedPageBreak/>
        <w:t xml:space="preserve">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5F5EC71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Представление депутатом представительного органа сельского поселения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433FCE75"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w:t>
      </w:r>
      <w:r w:rsidRPr="006848CC">
        <w:rPr>
          <w:rStyle w:val="af5"/>
          <w:rFonts w:ascii="Times New Roman" w:hAnsi="Times New Roman" w:cs="Times New Roman"/>
          <w:color w:val="000000"/>
          <w:sz w:val="28"/>
          <w:szCs w:val="28"/>
        </w:rPr>
        <w:lastRenderedPageBreak/>
        <w:t>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01E02CBC" w14:textId="77777777" w:rsidR="004D5762" w:rsidRPr="006848CC" w:rsidRDefault="004D5762">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определенным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по форме 6-НДФЛ, выдаваемой по месту службы (работы) (графа "Общая сумма дохода"). Если по основному месту работы получен доход, который не включен в справку по форме 6-НДФЛ, он подлежит указанию в иных доходах. </w:t>
      </w:r>
    </w:p>
    <w:p w14:paraId="771C87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справке по форме 6-НДФЛ 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14:paraId="63A3B973"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Особенности заполнения данного раздела отдельными категориями лиц</w:t>
      </w:r>
    </w:p>
    <w:p w14:paraId="1B0E4A3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w:t>
      </w:r>
      <w:r w:rsidRPr="006848CC">
        <w:rPr>
          <w:rFonts w:ascii="Times New Roman" w:hAnsi="Times New Roman"/>
          <w:sz w:val="28"/>
          <w:szCs w:val="28"/>
        </w:rPr>
        <w:lastRenderedPageBreak/>
        <w:t>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19"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дохода от педагогической деятельности (сумма дохода, содержащаяся в справке по форме 6-НДФЛ,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w:t>
      </w:r>
      <w:r w:rsidRPr="006848CC">
        <w:rPr>
          <w:rFonts w:ascii="Times New Roman" w:hAnsi="Times New Roman"/>
          <w:sz w:val="28"/>
          <w:szCs w:val="28"/>
        </w:rPr>
        <w:lastRenderedPageBreak/>
        <w:t>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77777777" w:rsidR="004D5762" w:rsidRPr="006848CC" w:rsidRDefault="00CF22F2">
      <w:pPr>
        <w:pStyle w:val="Default"/>
        <w:numPr>
          <w:ilvl w:val="0"/>
          <w:numId w:val="1"/>
        </w:numPr>
        <w:ind w:left="0" w:firstLine="567"/>
        <w:rPr>
          <w:color w:val="auto"/>
          <w:sz w:val="28"/>
          <w:szCs w:val="28"/>
        </w:rPr>
      </w:pPr>
      <w:r w:rsidRPr="006848C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418AD9FE"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2B37562E"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6A0712E5"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6D6F6F" w:rsidRPr="006D6F6F">
        <w:rPr>
          <w:rFonts w:ascii="Times New Roman" w:eastAsia="Times New Roman" w:hAnsi="Times New Roman"/>
          <w:sz w:val="28"/>
          <w:szCs w:val="28"/>
          <w:lang w:eastAsia="ru-RU"/>
        </w:rPr>
        <w:t>50</w:t>
      </w:r>
      <w:r w:rsidR="00795C0E"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52ABFC4F"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lastRenderedPageBreak/>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30BC6527" w14:textId="77777777" w:rsidR="004D5762" w:rsidRPr="006848CC"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p>
    <w:p w14:paraId="46815BF7" w14:textId="77777777"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77777777"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14:paraId="48AE47A7" w14:textId="77777777" w:rsidR="004D5762" w:rsidRPr="006848CC" w:rsidRDefault="00CF22F2">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lastRenderedPageBreak/>
        <w:t xml:space="preserve">Так, например, в строке иные доходы могут быть указаны: </w:t>
      </w:r>
    </w:p>
    <w:p w14:paraId="60FFBC8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14:paraId="089F1521" w14:textId="77777777" w:rsidR="004D5762" w:rsidRPr="006848CC" w:rsidRDefault="00CF22F2" w:rsidP="002937E4">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справку по форме 6-НДФЛ, выдаваемую по месту службы (работы). </w:t>
      </w:r>
    </w:p>
    <w:p w14:paraId="59FA432A" w14:textId="77777777"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6585D63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6D6F6F" w:rsidRPr="006D6F6F">
        <w:rPr>
          <w:rStyle w:val="af5"/>
          <w:rFonts w:ascii="Times New Roman" w:hAnsi="Times New Roman" w:cs="Times New Roman"/>
          <w:color w:val="000000"/>
          <w:sz w:val="28"/>
          <w:szCs w:val="28"/>
        </w:rPr>
        <w:t>39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77777777"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 xml:space="preserve">данный займ не </w:t>
      </w:r>
      <w:r w:rsidRPr="006848CC">
        <w:rPr>
          <w:rFonts w:ascii="Times New Roman" w:hAnsi="Times New Roman"/>
          <w:color w:val="000000"/>
          <w:sz w:val="28"/>
          <w:szCs w:val="28"/>
        </w:rPr>
        <w:lastRenderedPageBreak/>
        <w:t>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6E6DAEF7"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6D6F6F" w:rsidRPr="006D6F6F">
        <w:rPr>
          <w:rStyle w:val="af5"/>
          <w:rFonts w:ascii="Times New Roman" w:hAnsi="Times New Roman" w:cs="Times New Roman"/>
          <w:color w:val="000000"/>
          <w:sz w:val="28"/>
          <w:szCs w:val="28"/>
        </w:rPr>
        <w:t>39</w:t>
      </w:r>
      <w:r w:rsidR="009449D1"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"Иные доходы").</w:t>
      </w:r>
    </w:p>
    <w:p w14:paraId="4B11874C"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w:t>
      </w:r>
      <w:r w:rsidRPr="006848CC">
        <w:rPr>
          <w:rFonts w:ascii="Times New Roman" w:hAnsi="Times New Roman" w:cs="Times New Roman"/>
          <w:sz w:val="28"/>
          <w:szCs w:val="28"/>
        </w:rPr>
        <w:lastRenderedPageBreak/>
        <w:t>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77777777"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14:paraId="36D563A1" w14:textId="77777777"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"Иное недвижимое имущество"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895153E" w:rsidR="004D5762" w:rsidRPr="00401035" w:rsidRDefault="00CF22F2" w:rsidP="002937E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6D6F6F">
        <w:rPr>
          <w:rFonts w:ascii="Times New Roman" w:hAnsi="Times New Roman"/>
          <w:sz w:val="28"/>
          <w:szCs w:val="28"/>
        </w:rPr>
        <w:t xml:space="preserve">подпункте 3 пункта </w:t>
      </w:r>
      <w:r w:rsidR="008C1F84" w:rsidRPr="006D6F6F">
        <w:rPr>
          <w:rFonts w:ascii="Times New Roman" w:hAnsi="Times New Roman"/>
          <w:sz w:val="28"/>
          <w:szCs w:val="28"/>
        </w:rPr>
        <w:t>2</w:t>
      </w:r>
      <w:r w:rsidR="006D6F6F">
        <w:rPr>
          <w:rFonts w:ascii="Times New Roman" w:hAnsi="Times New Roman"/>
          <w:sz w:val="28"/>
          <w:szCs w:val="28"/>
        </w:rPr>
        <w:t>05</w:t>
      </w:r>
      <w:r w:rsidRPr="006D6F6F">
        <w:rPr>
          <w:rFonts w:ascii="Times New Roman" w:hAnsi="Times New Roman"/>
          <w:sz w:val="28"/>
          <w:szCs w:val="28"/>
        </w:rPr>
        <w:t xml:space="preserve"> настоящих Методических рекомендаций,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77777777" w:rsidR="004D5762" w:rsidRPr="006848CC" w:rsidRDefault="00CF22F2" w:rsidP="002937E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форме 6-НДФЛ по месту службы (работы) и не отражены в строке "Доход по основному месту работы"; </w:t>
      </w:r>
    </w:p>
    <w:p w14:paraId="5C5BA4AC" w14:textId="77777777" w:rsidR="004D5762" w:rsidRPr="006848CC" w:rsidRDefault="00CF22F2" w:rsidP="002937E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lastRenderedPageBreak/>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77777777" w:rsidR="004D5762" w:rsidRPr="006848CC"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6848CC">
        <w:rPr>
          <w:rFonts w:ascii="Times New Roman" w:eastAsia="Times New Roman" w:hAnsi="Times New Roman"/>
          <w:sz w:val="28"/>
          <w:szCs w:val="28"/>
          <w:lang w:eastAsia="ru-RU"/>
        </w:rPr>
        <w:t>"</w:t>
      </w:r>
      <w:r w:rsidRPr="006848CC">
        <w:rPr>
          <w:rFonts w:ascii="Times New Roman" w:hAnsi="Times New Roman"/>
          <w:sz w:val="28"/>
          <w:szCs w:val="28"/>
        </w:rPr>
        <w:t>Доход от педагогической и научной деятельности</w:t>
      </w:r>
      <w:r w:rsidRPr="006848CC">
        <w:rPr>
          <w:rFonts w:ascii="Times New Roman" w:eastAsia="Times New Roman" w:hAnsi="Times New Roman"/>
          <w:sz w:val="28"/>
          <w:szCs w:val="28"/>
          <w:lang w:eastAsia="ru-RU"/>
        </w:rPr>
        <w:t>"</w:t>
      </w:r>
      <w:r w:rsidRPr="006848CC">
        <w:rPr>
          <w:rFonts w:ascii="Times New Roman" w:hAnsi="Times New Roman"/>
          <w:sz w:val="28"/>
          <w:szCs w:val="28"/>
        </w:rPr>
        <w:t xml:space="preserve"> раздела 1 справки, результаты иной творческой деятельности – в строке </w:t>
      </w:r>
      <w:r w:rsidRPr="006848CC">
        <w:rPr>
          <w:rFonts w:ascii="Times New Roman" w:eastAsia="Times New Roman" w:hAnsi="Times New Roman"/>
          <w:sz w:val="28"/>
          <w:szCs w:val="28"/>
          <w:lang w:eastAsia="ru-RU"/>
        </w:rPr>
        <w:t>"</w:t>
      </w:r>
      <w:r w:rsidRPr="006848CC">
        <w:rPr>
          <w:rFonts w:ascii="Times New Roman" w:hAnsi="Times New Roman"/>
          <w:sz w:val="28"/>
          <w:szCs w:val="28"/>
        </w:rPr>
        <w:t>Доход от иной творческой деятельности</w:t>
      </w:r>
      <w:r w:rsidRPr="006848CC">
        <w:rPr>
          <w:rFonts w:ascii="Times New Roman" w:eastAsia="Times New Roman" w:hAnsi="Times New Roman"/>
          <w:sz w:val="28"/>
          <w:szCs w:val="28"/>
          <w:lang w:eastAsia="ru-RU"/>
        </w:rPr>
        <w:t>"</w:t>
      </w:r>
      <w:r w:rsidRPr="006848CC">
        <w:rPr>
          <w:rFonts w:ascii="Times New Roman" w:hAnsi="Times New Roman"/>
          <w:sz w:val="28"/>
          <w:szCs w:val="28"/>
        </w:rPr>
        <w:t xml:space="preserve"> указанного раздела справки;</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15682E47"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индивидуальным </w:t>
      </w:r>
      <w:r w:rsidRPr="006D6F6F">
        <w:rPr>
          <w:rFonts w:ascii="Times New Roman" w:hAnsi="Times New Roman"/>
          <w:sz w:val="28"/>
          <w:szCs w:val="28"/>
        </w:rPr>
        <w:t xml:space="preserve">предпринимателем (указывается согласно бухгалтерской (финансовой) отчетности или в соответствии с пунктом </w:t>
      </w:r>
      <w:r w:rsidR="006D6F6F" w:rsidRPr="006D6F6F">
        <w:rPr>
          <w:rFonts w:ascii="Times New Roman" w:hAnsi="Times New Roman"/>
          <w:sz w:val="28"/>
          <w:szCs w:val="28"/>
        </w:rPr>
        <w:t>56</w:t>
      </w:r>
      <w:r w:rsidRPr="006D6F6F">
        <w:rPr>
          <w:rFonts w:ascii="Times New Roman" w:hAnsi="Times New Roman"/>
          <w:sz w:val="28"/>
          <w:szCs w:val="28"/>
        </w:rPr>
        <w:t xml:space="preserve"> настоящих Методических рекомендаций);</w:t>
      </w:r>
    </w:p>
    <w:p w14:paraId="0091DAA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форме 6-НДФЛ,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63B954C"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lastRenderedPageBreak/>
        <w:t xml:space="preserve">пунктом </w:t>
      </w:r>
      <w:r w:rsidR="008C1F84" w:rsidRPr="006D6F6F">
        <w:rPr>
          <w:rStyle w:val="af5"/>
          <w:rFonts w:ascii="Times New Roman" w:hAnsi="Times New Roman" w:cs="Times New Roman"/>
          <w:color w:val="000000"/>
          <w:sz w:val="28"/>
          <w:szCs w:val="28"/>
        </w:rPr>
        <w:t>3</w:t>
      </w:r>
      <w:r w:rsidR="006D6F6F" w:rsidRPr="006D6F6F">
        <w:rPr>
          <w:rStyle w:val="af5"/>
          <w:rFonts w:ascii="Times New Roman" w:hAnsi="Times New Roman" w:cs="Times New Roman"/>
          <w:color w:val="000000"/>
          <w:sz w:val="28"/>
          <w:szCs w:val="28"/>
        </w:rPr>
        <w:t>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3BF91708" w14:textId="77777777" w:rsidR="004D5762" w:rsidRPr="006848CC" w:rsidRDefault="00CF22F2">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6848CC" w:rsidRDefault="00CF22F2" w:rsidP="002937E4">
      <w:pPr>
        <w:pStyle w:val="af7"/>
        <w:numPr>
          <w:ilvl w:val="0"/>
          <w:numId w:val="6"/>
        </w:numPr>
        <w:tabs>
          <w:tab w:val="left" w:pos="1276"/>
        </w:tabs>
        <w:ind w:left="567" w:firstLine="0"/>
        <w:rPr>
          <w:rFonts w:ascii="Times New Roman" w:hAnsi="Times New Roman"/>
          <w:sz w:val="28"/>
          <w:szCs w:val="28"/>
        </w:rPr>
      </w:pPr>
      <w:r w:rsidRPr="006848CC">
        <w:rPr>
          <w:rFonts w:ascii="Times New Roman" w:hAnsi="Times New Roman"/>
          <w:sz w:val="28"/>
          <w:szCs w:val="28"/>
        </w:rPr>
        <w:t>иные аналогичные выплаты.</w:t>
      </w:r>
    </w:p>
    <w:p w14:paraId="2AF0182E"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Также в строке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 например, следующие:</w:t>
      </w:r>
    </w:p>
    <w:p w14:paraId="57DC6D8F" w14:textId="77777777" w:rsidR="004D5762" w:rsidRPr="006848CC" w:rsidRDefault="00CF22F2">
      <w:pPr>
        <w:pStyle w:val="af7"/>
        <w:numPr>
          <w:ilvl w:val="1"/>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14:paraId="3E63E06A" w14:textId="77777777" w:rsidR="004D5762" w:rsidRPr="006848CC" w:rsidRDefault="00CF22F2">
      <w:pPr>
        <w:pStyle w:val="af7"/>
        <w:numPr>
          <w:ilvl w:val="1"/>
          <w:numId w:val="1"/>
        </w:numPr>
        <w:ind w:left="0"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ежемесячная денежная выплата на ребенка в возрасте от 8 до 17 лет в соответствии Указом Президента Российской Федерации от 31 марта 2022 г. № 175;</w:t>
      </w:r>
    </w:p>
    <w:p w14:paraId="18A517B4" w14:textId="77777777" w:rsidR="004D5762" w:rsidRPr="006848CC" w:rsidRDefault="00CF22F2" w:rsidP="002937E4">
      <w:pPr>
        <w:pStyle w:val="af7"/>
        <w:numPr>
          <w:ilvl w:val="1"/>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ежемесячное пособие женщине, вставшей на учет в медицинской организации в ранние сроки беременности) в соответствии с постановлением Правительства Российской Федерации от 6 июня 2022 г. № 1036.</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CD1A2E4"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r w:rsidRPr="006D6F6F">
        <w:rPr>
          <w:rFonts w:ascii="Times New Roman" w:hAnsi="Times New Roman"/>
          <w:sz w:val="28"/>
          <w:szCs w:val="28"/>
        </w:rPr>
        <w:t xml:space="preserve"> </w:t>
      </w:r>
      <w:r w:rsidRPr="006D6F6F">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p>
    <w:p w14:paraId="0C6BE4C5"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14:paraId="2234197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lastRenderedPageBreak/>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 6 "Иные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44480E5E"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6D6F6F" w:rsidRPr="006D6F6F">
        <w:rPr>
          <w:rStyle w:val="af5"/>
          <w:rFonts w:ascii="Times New Roman" w:hAnsi="Times New Roman" w:cs="Times New Roman"/>
          <w:color w:val="000000"/>
          <w:sz w:val="28"/>
          <w:szCs w:val="28"/>
        </w:rPr>
        <w:t>39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77777777" w:rsidR="004D5762" w:rsidRPr="006848CC" w:rsidRDefault="00CF22F2">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363602D6"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отражению в разделе 1 справки. Счет в банке, открытый для соответствующих целей, отражается в разделе 4 справки</w:t>
      </w:r>
      <w:r w:rsidR="00E4439A"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146</w:t>
      </w:r>
      <w:r w:rsidR="00E4439A"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05ABBCF7" w14:textId="77777777" w:rsidR="004D5762" w:rsidRPr="006848CC" w:rsidRDefault="004D5762">
      <w:pPr>
        <w:pStyle w:val="af7"/>
        <w:ind w:left="567" w:firstLine="0"/>
        <w:rPr>
          <w:rFonts w:ascii="Times New Roman" w:hAnsi="Times New Roman"/>
          <w:sz w:val="28"/>
          <w:szCs w:val="28"/>
        </w:rPr>
      </w:pPr>
    </w:p>
    <w:p w14:paraId="287D0F59" w14:textId="77777777" w:rsidR="004D5762" w:rsidRPr="006848CC" w:rsidRDefault="00CF22F2">
      <w:pPr>
        <w:tabs>
          <w:tab w:val="left" w:pos="709"/>
        </w:tabs>
        <w:ind w:firstLine="567"/>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2023 году сообщаются сведения о расходах по сделкам, совершенным в 2022 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 </w:t>
      </w:r>
    </w:p>
    <w:p w14:paraId="259689BF" w14:textId="1426AC12"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2справки не заполняют.</w:t>
      </w:r>
    </w:p>
    <w:p w14:paraId="7C4E1871"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6C8CE056"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оснований не является нарушением.</w:t>
      </w:r>
    </w:p>
    <w:p w14:paraId="1105E884"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2022 году, суммируются доходы служащего (работника) и его супруги (супруга), полученные в 2019, 2020 и 2021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 xml:space="preserve">общего дохода из него не вычитаются иные расходы, например связанные с отпуском, оплатой </w:t>
      </w:r>
      <w:r w:rsidRPr="006D6F6F">
        <w:rPr>
          <w:rFonts w:ascii="Times New Roman" w:hAnsi="Times New Roman"/>
          <w:sz w:val="28"/>
          <w:szCs w:val="28"/>
        </w:rPr>
        <w:t>жилищно-коммунальных услуг и т.п.</w:t>
      </w:r>
    </w:p>
    <w:p w14:paraId="2AB5D0B1" w14:textId="77D4506E"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w:t>
      </w:r>
      <w:r w:rsidRPr="006848CC">
        <w:rPr>
          <w:rFonts w:ascii="Times New Roman" w:hAnsi="Times New Roman"/>
          <w:sz w:val="28"/>
          <w:szCs w:val="28"/>
        </w:rPr>
        <w:lastRenderedPageBreak/>
        <w:t>(работни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При заполнении графы "</w:t>
      </w:r>
      <w:r w:rsidRPr="00401035">
        <w:rPr>
          <w:rFonts w:ascii="Times New Roman" w:hAnsi="Times New Roman"/>
          <w:b/>
          <w:sz w:val="28"/>
          <w:szCs w:val="28"/>
        </w:rPr>
        <w:t>Вид приобретенного имущества</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w:t>
      </w:r>
      <w:r w:rsidRPr="006848CC">
        <w:rPr>
          <w:rFonts w:ascii="Times New Roman" w:hAnsi="Times New Roman"/>
          <w:bCs/>
          <w:color w:val="000000"/>
          <w:sz w:val="28"/>
          <w:szCs w:val="28"/>
        </w:rPr>
        <w:lastRenderedPageBreak/>
        <w:t>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графы "</w:t>
      </w:r>
      <w:r w:rsidRPr="006848CC">
        <w:rPr>
          <w:rFonts w:ascii="Times New Roman" w:hAnsi="Times New Roman"/>
          <w:b/>
          <w:sz w:val="28"/>
          <w:szCs w:val="28"/>
        </w:rPr>
        <w:t>Источник получения средств, за счет которых приобретено имущество</w:t>
      </w:r>
      <w:r w:rsidRPr="006848CC">
        <w:rPr>
          <w:rFonts w:ascii="Times New Roman" w:hAnsi="Times New Roman"/>
          <w:sz w:val="28"/>
          <w:szCs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63B56037" w14:textId="77777777" w:rsidR="00C621E4" w:rsidRPr="006848CC" w:rsidRDefault="00C621E4">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DE6B2E1"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8C1F84" w:rsidRPr="006D6F6F">
        <w:rPr>
          <w:rFonts w:ascii="Times New Roman" w:hAnsi="Times New Roman"/>
          <w:sz w:val="28"/>
          <w:szCs w:val="28"/>
        </w:rPr>
        <w:t>11</w:t>
      </w:r>
      <w:r w:rsidR="003574AE">
        <w:rPr>
          <w:rFonts w:ascii="Times New Roman" w:hAnsi="Times New Roman"/>
          <w:sz w:val="28"/>
          <w:szCs w:val="28"/>
        </w:rPr>
        <w:t>6</w:t>
      </w:r>
      <w:r w:rsidR="000758F2" w:rsidRPr="006D6F6F">
        <w:rPr>
          <w:rFonts w:ascii="Times New Roman" w:hAnsi="Times New Roman"/>
          <w:sz w:val="28"/>
          <w:szCs w:val="28"/>
        </w:rPr>
        <w:t xml:space="preserve"> настоящих Методических рекомендаций)</w:t>
      </w:r>
      <w:r w:rsidRPr="006D6F6F">
        <w:rPr>
          <w:rFonts w:ascii="Times New Roman" w:hAnsi="Times New Roman"/>
          <w:sz w:val="28"/>
          <w:szCs w:val="28"/>
        </w:rPr>
        <w:t>.</w:t>
      </w:r>
      <w:r w:rsidR="000758F2" w:rsidRPr="006D6F6F">
        <w:rPr>
          <w:rFonts w:ascii="Times New Roman" w:hAnsi="Times New Roman"/>
          <w:sz w:val="28"/>
          <w:szCs w:val="28"/>
        </w:rPr>
        <w:t xml:space="preserve"> </w:t>
      </w:r>
    </w:p>
    <w:p w14:paraId="7528EA75"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DEE90A3"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8C1F84" w:rsidRPr="006D6F6F">
        <w:rPr>
          <w:rFonts w:ascii="Times New Roman" w:hAnsi="Times New Roman"/>
          <w:sz w:val="28"/>
          <w:szCs w:val="28"/>
        </w:rPr>
        <w:t>11</w:t>
      </w:r>
      <w:r w:rsidR="003574AE">
        <w:rPr>
          <w:rFonts w:ascii="Times New Roman" w:hAnsi="Times New Roman"/>
          <w:sz w:val="28"/>
          <w:szCs w:val="28"/>
        </w:rPr>
        <w:t>6</w:t>
      </w:r>
      <w:r w:rsidR="000758F2" w:rsidRPr="006D6F6F">
        <w:rPr>
          <w:rFonts w:ascii="Times New Roman" w:hAnsi="Times New Roman"/>
          <w:sz w:val="28"/>
          <w:szCs w:val="28"/>
        </w:rPr>
        <w:t xml:space="preserve"> настоящих Методических рекомендаций)</w:t>
      </w:r>
      <w:r w:rsidRPr="006D6F6F">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77777777"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4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0"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77:02:0014017:1994-72/004/2022-2 от 27 марта 2022 г.; договор купли-продажи от 19 февраля 2022 г. или иное.</w:t>
      </w:r>
    </w:p>
    <w:p w14:paraId="3671A6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1" w:name="Par1"/>
      <w:bookmarkEnd w:id="1"/>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2" w:name="Par8"/>
      <w:bookmarkEnd w:id="2"/>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w:t>
      </w:r>
      <w:r w:rsidRPr="006848CC">
        <w:rPr>
          <w:rFonts w:ascii="Times New Roman" w:hAnsi="Times New Roman"/>
          <w:sz w:val="28"/>
          <w:szCs w:val="28"/>
        </w:rPr>
        <w:lastRenderedPageBreak/>
        <w:t>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18884F3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4053A3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3BF0F56" w14:textId="77777777"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487EC72A"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2022 года включительно продал легковой автомобиль, а новый собственник зарегистрировал такое транспортное средство только в январе 2023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1"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2"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23"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14:paraId="71D0D5D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7 "Иные транспортные средства"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w:t>
      </w:r>
      <w:r w:rsidRPr="006848CC">
        <w:rPr>
          <w:rStyle w:val="af5"/>
          <w:rFonts w:ascii="Times New Roman" w:hAnsi="Times New Roman" w:cs="Times New Roman"/>
          <w:sz w:val="28"/>
          <w:szCs w:val="28"/>
          <w:shd w:val="clear" w:color="auto" w:fill="auto"/>
        </w:rPr>
        <w:lastRenderedPageBreak/>
        <w:t>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графе "</w:t>
      </w:r>
      <w:r w:rsidRPr="00401035">
        <w:rPr>
          <w:rStyle w:val="af5"/>
          <w:rFonts w:ascii="Times New Roman" w:hAnsi="Times New Roman" w:cs="Times New Roman"/>
          <w:b/>
          <w:sz w:val="28"/>
          <w:szCs w:val="28"/>
          <w:shd w:val="clear" w:color="auto" w:fill="auto"/>
        </w:rPr>
        <w:t>Общее количество</w:t>
      </w:r>
      <w:r w:rsidRPr="006848CC">
        <w:rPr>
          <w:rStyle w:val="af5"/>
          <w:rFonts w:ascii="Times New Roman" w:hAnsi="Times New Roman" w:cs="Times New Roman"/>
          <w:sz w:val="28"/>
          <w:szCs w:val="28"/>
          <w:shd w:val="clear" w:color="auto" w:fill="auto"/>
        </w:rPr>
        <w:t>"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w:t>
      </w:r>
      <w:r w:rsidRPr="006848CC">
        <w:rPr>
          <w:rStyle w:val="af5"/>
          <w:rFonts w:ascii="Times New Roman" w:hAnsi="Times New Roman" w:cs="Times New Roman"/>
          <w:sz w:val="28"/>
          <w:szCs w:val="28"/>
          <w:shd w:val="clear" w:color="auto" w:fill="auto"/>
        </w:rPr>
        <w:lastRenderedPageBreak/>
        <w:t>налогоплательщика и основной государственный регистрационный номер).</w:t>
      </w:r>
    </w:p>
    <w:p w14:paraId="28CFEAD1" w14:textId="7E059B25" w:rsidR="004D5762"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24" w:history="1">
        <w:r w:rsidR="00C621E4"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14:paraId="40390F59" w14:textId="77777777" w:rsidR="00C621E4" w:rsidRPr="00401035" w:rsidRDefault="00C621E4" w:rsidP="00C621E4">
      <w:pPr>
        <w:pStyle w:val="af7"/>
        <w:widowControl w:val="0"/>
        <w:ind w:left="567" w:firstLine="0"/>
        <w:rPr>
          <w:rStyle w:val="af5"/>
          <w:rFonts w:ascii="Times New Roman" w:hAnsi="Times New Roman" w:cs="Times New Roman"/>
          <w:sz w:val="28"/>
          <w:szCs w:val="28"/>
          <w:shd w:val="clear" w:color="auto" w:fill="auto"/>
        </w:rPr>
      </w:pP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77777777"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Уникальное условное обозначение</w:t>
      </w:r>
      <w:r w:rsidRPr="006848CC">
        <w:rPr>
          <w:rStyle w:val="af5"/>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утилитарного цифрового права.</w:t>
      </w:r>
    </w:p>
    <w:p w14:paraId="6F6B84F5" w14:textId="40A95050"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Объем инвестиций (руб.)</w:t>
      </w:r>
      <w:r w:rsidRPr="006848CC">
        <w:rPr>
          <w:rStyle w:val="af5"/>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w:t>
      </w:r>
      <w:r w:rsidRPr="00401035">
        <w:rPr>
          <w:rStyle w:val="af5"/>
          <w:rFonts w:ascii="Times New Roman" w:hAnsi="Times New Roman" w:cs="Times New Roman"/>
          <w:sz w:val="28"/>
          <w:szCs w:val="28"/>
          <w:shd w:val="clear" w:color="auto" w:fill="auto"/>
        </w:rPr>
        <w:lastRenderedPageBreak/>
        <w:t>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Сведения об операторе инвестиционной платформы</w:t>
      </w:r>
      <w:r w:rsidRPr="006848CC">
        <w:rPr>
          <w:rStyle w:val="af5"/>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58D9065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5" w:history="1">
        <w:r w:rsidR="00772F94" w:rsidRPr="006848CC">
          <w:rPr>
            <w:rStyle w:val="aff5"/>
            <w:rFonts w:ascii="Times New Roman" w:hAnsi="Times New Roman"/>
            <w:sz w:val="28"/>
            <w:szCs w:val="28"/>
          </w:rPr>
          <w:t>http://www.cbr.ru/vfs/registers/infr/list_invest_platform_op.xlsx</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Наименование цифровой валюты</w:t>
      </w:r>
      <w:r w:rsidRPr="006848CC">
        <w:rPr>
          <w:rStyle w:val="af5"/>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цифровой валюты.</w:t>
      </w:r>
    </w:p>
    <w:p w14:paraId="2374F14D"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В графе "</w:t>
      </w:r>
      <w:r w:rsidRPr="00401035">
        <w:rPr>
          <w:rStyle w:val="af5"/>
          <w:rFonts w:ascii="Times New Roman" w:hAnsi="Times New Roman" w:cs="Times New Roman"/>
          <w:b/>
          <w:sz w:val="28"/>
          <w:szCs w:val="28"/>
          <w:shd w:val="clear" w:color="auto" w:fill="auto"/>
        </w:rPr>
        <w:t>Общее количество</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92CDFFF" w14:textId="77777777" w:rsidR="004D5762" w:rsidRDefault="004D5762">
      <w:pPr>
        <w:pStyle w:val="af7"/>
        <w:ind w:left="0" w:firstLine="851"/>
        <w:rPr>
          <w:rFonts w:ascii="Times New Roman" w:hAnsi="Times New Roman"/>
          <w:sz w:val="28"/>
          <w:szCs w:val="28"/>
        </w:rPr>
      </w:pPr>
    </w:p>
    <w:p w14:paraId="3A7AF2E4" w14:textId="77777777" w:rsidR="006D6F6F" w:rsidRDefault="006D6F6F">
      <w:pPr>
        <w:pStyle w:val="af7"/>
        <w:ind w:left="0" w:firstLine="851"/>
        <w:rPr>
          <w:rFonts w:ascii="Times New Roman" w:hAnsi="Times New Roman"/>
          <w:sz w:val="28"/>
          <w:szCs w:val="28"/>
        </w:rPr>
      </w:pPr>
    </w:p>
    <w:p w14:paraId="19C4E8E6" w14:textId="77777777" w:rsidR="006D6F6F" w:rsidRDefault="006D6F6F">
      <w:pPr>
        <w:pStyle w:val="af7"/>
        <w:ind w:left="0" w:firstLine="851"/>
        <w:rPr>
          <w:rFonts w:ascii="Times New Roman" w:hAnsi="Times New Roman"/>
          <w:sz w:val="28"/>
          <w:szCs w:val="28"/>
        </w:rPr>
      </w:pPr>
    </w:p>
    <w:p w14:paraId="322791C1" w14:textId="77777777" w:rsidR="006D6F6F" w:rsidRPr="006848CC" w:rsidRDefault="006D6F6F">
      <w:pPr>
        <w:pStyle w:val="af7"/>
        <w:ind w:left="0" w:firstLine="851"/>
        <w:rPr>
          <w:rFonts w:ascii="Times New Roman" w:hAnsi="Times New Roman"/>
          <w:sz w:val="28"/>
          <w:szCs w:val="28"/>
        </w:rPr>
      </w:pPr>
    </w:p>
    <w:p w14:paraId="299A2AB5" w14:textId="77777777"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lastRenderedPageBreak/>
        <w:t>РАЗДЕЛ 4. СВЕДЕНИЯ О СЧЕТАХ В БАНКАХ 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95E0BD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по счетам,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A8FE3C8"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6</w:t>
      </w:r>
      <w:r w:rsidR="00CF22F2" w:rsidRPr="006848CC">
        <w:rPr>
          <w:rFonts w:ascii="Times New Roman" w:hAnsi="Times New Roman"/>
          <w:sz w:val="28"/>
          <w:szCs w:val="28"/>
        </w:rPr>
        <w:t>) счета, открытые гражданам, зарегистрированным в качестве индивидуальных предпринимателей.</w:t>
      </w:r>
      <w:r w:rsidR="00CF22F2" w:rsidRPr="006848C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00CF22F2" w:rsidRPr="006848CC">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5C0A7D4B" w14:textId="0A475DD6"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E785D53"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t xml:space="preserve">отражению в подразделе 6.2 раздела 6 справки в случае, предусмотренном подпунктом 4 пункта </w:t>
      </w:r>
      <w:r w:rsidR="006D6F6F" w:rsidRPr="006D6F6F">
        <w:rPr>
          <w:rFonts w:ascii="Times New Roman" w:hAnsi="Times New Roman"/>
          <w:sz w:val="28"/>
          <w:szCs w:val="28"/>
        </w:rPr>
        <w:t>205</w:t>
      </w:r>
      <w:r w:rsidRPr="006D6F6F">
        <w:rPr>
          <w:rFonts w:ascii="Times New Roman" w:hAnsi="Times New Roman"/>
          <w:sz w:val="28"/>
          <w:szCs w:val="28"/>
        </w:rPr>
        <w:t xml:space="preserve"> настоящих Методических рекомендаций.</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6848CC" w:rsidRDefault="00CF22F2">
      <w:pPr>
        <w:pStyle w:val="af7"/>
        <w:ind w:left="0" w:firstLine="567"/>
        <w:rPr>
          <w:rFonts w:ascii="Times New Roman" w:hAnsi="Times New Roman"/>
          <w:sz w:val="28"/>
          <w:szCs w:val="28"/>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79888F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"Вид и валюта счета"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27746E26"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6D6F6F" w:rsidRPr="006D6F6F">
        <w:rPr>
          <w:rFonts w:ascii="Times New Roman" w:hAnsi="Times New Roman"/>
          <w:sz w:val="28"/>
          <w:szCs w:val="28"/>
        </w:rPr>
        <w:t>147</w:t>
      </w:r>
      <w:r w:rsidRPr="006D6F6F">
        <w:rPr>
          <w:rFonts w:ascii="Times New Roman" w:hAnsi="Times New Roman"/>
          <w:sz w:val="28"/>
          <w:szCs w:val="28"/>
        </w:rPr>
        <w:t xml:space="preserve"> и </w:t>
      </w:r>
      <w:r w:rsidR="008C1F84" w:rsidRPr="006D6F6F">
        <w:rPr>
          <w:rFonts w:ascii="Times New Roman" w:hAnsi="Times New Roman"/>
          <w:sz w:val="28"/>
          <w:szCs w:val="28"/>
        </w:rPr>
        <w:t>14</w:t>
      </w:r>
      <w:r w:rsidR="006D6F6F" w:rsidRPr="006D6F6F">
        <w:rPr>
          <w:rFonts w:ascii="Times New Roman" w:hAnsi="Times New Roman"/>
          <w:sz w:val="28"/>
          <w:szCs w:val="28"/>
        </w:rPr>
        <w:t>8</w:t>
      </w:r>
      <w:r w:rsidRPr="006D6F6F">
        <w:rPr>
          <w:rFonts w:ascii="Times New Roman" w:hAnsi="Times New Roman"/>
          <w:sz w:val="28"/>
          <w:szCs w:val="28"/>
        </w:rPr>
        <w:t xml:space="preserve"> 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lastRenderedPageBreak/>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"Дата открытия счета"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"Остаток на счете"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справки в полом объеме.</w:t>
      </w:r>
    </w:p>
    <w:p w14:paraId="77CC6E16" w14:textId="31D137E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14:paraId="78A82D70"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По счету в драгоценных металлах указывается стоимость драгоценного металла на от</w:t>
      </w:r>
      <w:r w:rsidRPr="006848CC">
        <w:rPr>
          <w:rFonts w:ascii="Times New Roman" w:hAnsi="Times New Roman"/>
          <w:sz w:val="28"/>
          <w:szCs w:val="28"/>
        </w:rPr>
        <w:t>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14:paraId="66E40DCF" w14:textId="414DD62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"Сумма поступивших на счет денежных средств" до 1 июля 2023 года заполняется </w:t>
      </w:r>
      <w:r w:rsidRPr="006848CC">
        <w:rPr>
          <w:rFonts w:ascii="Times New Roman" w:hAnsi="Times New Roman"/>
          <w:b/>
          <w:sz w:val="28"/>
          <w:szCs w:val="28"/>
        </w:rPr>
        <w:t>только</w:t>
      </w:r>
      <w:r w:rsidRPr="006848CC">
        <w:rPr>
          <w:rFonts w:ascii="Times New Roman" w:hAnsi="Times New Roman"/>
          <w:sz w:val="28"/>
          <w:szCs w:val="28"/>
        </w:rPr>
        <w:t xml:space="preserve"> в случае, если общая сумма денежных поступлений на отдельный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2023 году указывается общая сумма денежных средств, поступивших на конкретный счет в 2022 году, если эта сумма превышает общий доход служащего (работника) и его супруги (супруга) за 2020, 2021 и 2022 годы. В этом случае к справке прилагается выписка о движении денежных средств по данному счету за отчетный период. </w:t>
      </w:r>
    </w:p>
    <w:p w14:paraId="55F29C3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По счету в драгоценных металлах данная графа не заполняется.</w:t>
      </w:r>
    </w:p>
    <w:p w14:paraId="5760821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если общая сумма денежных поступлений на счет не превышает общий доход служащего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 [</w:t>
      </w:r>
      <w:r w:rsidRPr="006848CC">
        <w:rPr>
          <w:rFonts w:ascii="MS Mincho" w:eastAsia="MS Mincho" w:hAnsi="MS Mincho" w:cs="MS Mincho"/>
          <w:sz w:val="28"/>
          <w:szCs w:val="28"/>
        </w:rPr>
        <w:t>✓</w:t>
      </w:r>
      <w:r w:rsidRPr="006848CC">
        <w:rPr>
          <w:rFonts w:ascii="Times New Roman" w:hAnsi="Times New Roman"/>
          <w:sz w:val="28"/>
          <w:szCs w:val="28"/>
        </w:rPr>
        <w:t xml:space="preserve">] напротив соответствующей позиции. В противном случае необходимо заполнить соответствующие графы. </w:t>
      </w:r>
    </w:p>
    <w:p w14:paraId="2C6A789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14:paraId="0BA18F2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 1 июля 2023 года указываются суммы денежных средств, поступивших на счета за отчетный период, в случае если общая сумма таких денежных средств превышает общий доход служащего (работника), его супруги (супруга) и несовершеннолетних детей за отчетный период и предшествующие два года. В этом случае к справке прилагаются выписки о движении денежных средств по счетам за отчетный период.</w:t>
      </w:r>
    </w:p>
    <w:p w14:paraId="4FFD91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14:paraId="4DC4B106" w14:textId="77777777"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w:t>
      </w:r>
      <w:r w:rsidRPr="006D6F6F">
        <w:rPr>
          <w:rFonts w:ascii="Times New Roman" w:hAnsi="Times New Roman"/>
          <w:sz w:val="28"/>
          <w:szCs w:val="28"/>
        </w:rPr>
        <w:t>доходами в предыдущие годы.</w:t>
      </w:r>
    </w:p>
    <w:p w14:paraId="0DC809E0" w14:textId="08B10BCD"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Для счетов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w:t>
      </w:r>
      <w:r w:rsidR="00D813DB" w:rsidRPr="006848CC">
        <w:rPr>
          <w:rFonts w:ascii="Times New Roman" w:eastAsia="Times New Roman" w:hAnsi="Times New Roman"/>
          <w:sz w:val="28"/>
          <w:szCs w:val="28"/>
          <w:lang w:eastAsia="ru-RU"/>
        </w:rPr>
        <w:t xml:space="preserve"> Методических рекомендаций)</w:t>
      </w:r>
      <w:r w:rsidRPr="006848CC">
        <w:rPr>
          <w:rFonts w:ascii="Times New Roman" w:hAnsi="Times New Roman"/>
          <w:sz w:val="28"/>
          <w:szCs w:val="28"/>
        </w:rPr>
        <w:t>.</w:t>
      </w:r>
    </w:p>
    <w:p w14:paraId="4E2F8FEB" w14:textId="77777777" w:rsidR="004D5762" w:rsidRPr="00401035" w:rsidRDefault="00CF22F2">
      <w:pPr>
        <w:pStyle w:val="af7"/>
        <w:ind w:left="0" w:firstLine="567"/>
        <w:rPr>
          <w:rFonts w:ascii="Times New Roman" w:hAnsi="Times New Roman"/>
          <w:b/>
          <w:sz w:val="28"/>
          <w:szCs w:val="28"/>
        </w:rPr>
      </w:pPr>
      <w:r w:rsidRPr="00401035">
        <w:rPr>
          <w:rFonts w:ascii="Times New Roman" w:hAnsi="Times New Roman"/>
          <w:b/>
          <w:sz w:val="28"/>
          <w:szCs w:val="28"/>
        </w:rPr>
        <w:t>Совместный счет</w:t>
      </w:r>
    </w:p>
    <w:p w14:paraId="11B117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p>
    <w:p w14:paraId="1D21D740"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5):</w:t>
      </w:r>
    </w:p>
    <w:tbl>
      <w:tblPr>
        <w:tblStyle w:val="af4"/>
        <w:tblW w:w="10348" w:type="dxa"/>
        <w:tblInd w:w="108" w:type="dxa"/>
        <w:tblLook w:val="04A0" w:firstRow="1" w:lastRow="0" w:firstColumn="1" w:lastColumn="0" w:noHBand="0" w:noVBand="1"/>
      </w:tblPr>
      <w:tblGrid>
        <w:gridCol w:w="2127"/>
        <w:gridCol w:w="8221"/>
      </w:tblGrid>
      <w:tr w:rsidR="004D5762" w:rsidRPr="006848CC" w14:paraId="3E6F1C27" w14:textId="77777777">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 xml:space="preserve">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w:t>
            </w:r>
            <w:r w:rsidRPr="006848CC">
              <w:rPr>
                <w:rFonts w:ascii="Times New Roman" w:hAnsi="Times New Roman"/>
                <w:sz w:val="28"/>
                <w:szCs w:val="28"/>
              </w:rPr>
              <w:lastRenderedPageBreak/>
              <w:t>пределах расходного лимита в соответствии с условиями кредитного договора.</w:t>
            </w:r>
          </w:p>
        </w:tc>
      </w:tr>
    </w:tbl>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0ADCE135" w14:textId="0B7A7497" w:rsidR="004D5762"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 xml:space="preserve">Кроме того, необходимо обращать внимание,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2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0B356581" w14:textId="59B9F75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 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w:t>
      </w:r>
      <w:r w:rsidRPr="006848CC">
        <w:rPr>
          <w:rFonts w:ascii="Times New Roman" w:hAnsi="Times New Roman"/>
          <w:sz w:val="28"/>
          <w:szCs w:val="28"/>
        </w:rPr>
        <w:lastRenderedPageBreak/>
        <w:t>числе с использованием электронных средств платежа ("электронных кошельков") (например "ЮMoney", "</w:t>
      </w:r>
      <w:r w:rsidRPr="006848CC">
        <w:rPr>
          <w:rFonts w:ascii="Times New Roman" w:hAnsi="Times New Roman"/>
          <w:sz w:val="28"/>
          <w:szCs w:val="28"/>
          <w:lang w:val="en-US"/>
        </w:rPr>
        <w:t>Qiwi</w:t>
      </w:r>
      <w:r w:rsidRPr="006848CC">
        <w:rPr>
          <w:rFonts w:ascii="Times New Roman" w:hAnsi="Times New Roman"/>
          <w:sz w:val="28"/>
          <w:szCs w:val="28"/>
        </w:rPr>
        <w:t xml:space="preserve"> кошелек" и др.).</w:t>
      </w:r>
    </w:p>
    <w:p w14:paraId="1A83CF4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t xml:space="preserve">Отзыв лицензии у кредитной организации </w:t>
      </w:r>
    </w:p>
    <w:p w14:paraId="4DB44A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14:paraId="129702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30612503"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28"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14:paraId="19D5BEE8" w14:textId="77777777" w:rsidR="004D5762" w:rsidRPr="006848CC" w:rsidRDefault="004D5762">
      <w:pPr>
        <w:ind w:firstLine="851"/>
        <w:jc w:val="center"/>
        <w:rPr>
          <w:rFonts w:ascii="Times New Roman" w:hAnsi="Times New Roman"/>
          <w:sz w:val="28"/>
          <w:szCs w:val="28"/>
        </w:rPr>
      </w:pPr>
    </w:p>
    <w:p w14:paraId="38098374" w14:textId="77777777"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5 "Доход от ценных бумаг и долей участия в коммерческих организациях").</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w:t>
      </w:r>
      <w:r w:rsidRPr="006848CC">
        <w:rPr>
          <w:rFonts w:ascii="Times New Roman" w:hAnsi="Times New Roman"/>
          <w:sz w:val="28"/>
          <w:szCs w:val="28"/>
        </w:rPr>
        <w:lastRenderedPageBreak/>
        <w:t>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Федеральным законом от 22 апреля 1996 г. </w:t>
      </w:r>
      <w:r w:rsidRPr="006848CC">
        <w:rPr>
          <w:rFonts w:ascii="Times New Roman" w:hAnsi="Times New Roman"/>
          <w:sz w:val="28"/>
          <w:szCs w:val="28"/>
        </w:rPr>
        <w:b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6848CC">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43F3D599"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графе "</w:t>
      </w:r>
      <w:r w:rsidRPr="006D6F6F">
        <w:rPr>
          <w:rFonts w:ascii="Times New Roman" w:hAnsi="Times New Roman"/>
          <w:b/>
          <w:sz w:val="28"/>
          <w:szCs w:val="28"/>
        </w:rPr>
        <w:t>Местонахождени</w:t>
      </w:r>
      <w:r w:rsidR="008621DE" w:rsidRPr="006D6F6F">
        <w:rPr>
          <w:rFonts w:ascii="Times New Roman" w:hAnsi="Times New Roman"/>
          <w:b/>
          <w:sz w:val="28"/>
          <w:szCs w:val="28"/>
        </w:rPr>
        <w:t>е организации (адрес)</w:t>
      </w:r>
      <w:r w:rsidRPr="006D6F6F">
        <w:rPr>
          <w:rFonts w:ascii="Times New Roman" w:hAnsi="Times New Roman"/>
          <w:sz w:val="28"/>
          <w:szCs w:val="28"/>
        </w:rPr>
        <w:t>" указывается место нахождения эмитента акций</w:t>
      </w:r>
      <w:r w:rsidRPr="006848CC">
        <w:rPr>
          <w:rFonts w:ascii="Times New Roman" w:hAnsi="Times New Roman"/>
          <w:sz w:val="28"/>
          <w:szCs w:val="28"/>
        </w:rPr>
        <w:t xml:space="preserve"> (иностранных акций). В отношении юридического лица, созданного в соответствии с законодательством Российской Федерации, место </w:t>
      </w:r>
      <w:r w:rsidRPr="006848CC">
        <w:rPr>
          <w:rFonts w:ascii="Times New Roman" w:hAnsi="Times New Roman"/>
          <w:sz w:val="28"/>
          <w:szCs w:val="28"/>
        </w:rPr>
        <w:lastRenderedPageBreak/>
        <w:t>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14:paraId="7B592178" w14:textId="29D713FE"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4" w:name="Par620"/>
      <w:bookmarkEnd w:id="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599049F5"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Основание участия</w:t>
      </w:r>
      <w:r w:rsidRPr="006848CC">
        <w:rPr>
          <w:rFonts w:ascii="Times New Roman" w:hAnsi="Times New Roman"/>
          <w:sz w:val="28"/>
          <w:szCs w:val="28"/>
        </w:rPr>
        <w:t>"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w:t>
      </w:r>
      <w:r w:rsidRPr="006848CC">
        <w:rPr>
          <w:rFonts w:ascii="Times New Roman" w:hAnsi="Times New Roman"/>
          <w:sz w:val="28"/>
          <w:szCs w:val="28"/>
        </w:rPr>
        <w:lastRenderedPageBreak/>
        <w:t>идентифицировать подавших заявки участников торгов, не раскрывается в ходе торгов другим участникам, в графе "</w:t>
      </w:r>
      <w:r w:rsidRPr="006848CC">
        <w:rPr>
          <w:rFonts w:ascii="Times New Roman" w:hAnsi="Times New Roman"/>
          <w:b/>
          <w:sz w:val="28"/>
          <w:szCs w:val="28"/>
        </w:rPr>
        <w:t>Основание участия</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w:t>
      </w:r>
    </w:p>
    <w:p w14:paraId="205D5D0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Номинальная величина обязательства</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Общая стоимость</w:t>
      </w:r>
      <w:r w:rsidRPr="006848CC">
        <w:rPr>
          <w:rFonts w:ascii="Times New Roman" w:hAnsi="Times New Roman"/>
          <w:sz w:val="28"/>
          <w:szCs w:val="28"/>
        </w:rPr>
        <w: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322DB5DF"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2684167F" w:rsidR="00632D06" w:rsidRPr="006848CC"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2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1E46714F" w14:textId="77777777" w:rsidR="004D5762" w:rsidRDefault="004D5762">
      <w:pPr>
        <w:pStyle w:val="af7"/>
        <w:ind w:left="0"/>
        <w:rPr>
          <w:rFonts w:ascii="Times New Roman" w:hAnsi="Times New Roman"/>
          <w:sz w:val="28"/>
          <w:szCs w:val="28"/>
        </w:rPr>
      </w:pPr>
    </w:p>
    <w:p w14:paraId="1EA6F36C" w14:textId="77777777" w:rsidR="006D6F6F" w:rsidRDefault="006D6F6F">
      <w:pPr>
        <w:pStyle w:val="af7"/>
        <w:ind w:left="0"/>
        <w:rPr>
          <w:rFonts w:ascii="Times New Roman" w:hAnsi="Times New Roman"/>
          <w:sz w:val="28"/>
          <w:szCs w:val="28"/>
        </w:rPr>
      </w:pPr>
    </w:p>
    <w:p w14:paraId="05D52DAF" w14:textId="77777777" w:rsidR="006D6F6F" w:rsidRDefault="006D6F6F">
      <w:pPr>
        <w:pStyle w:val="af7"/>
        <w:ind w:left="0"/>
        <w:rPr>
          <w:rFonts w:ascii="Times New Roman" w:hAnsi="Times New Roman"/>
          <w:sz w:val="28"/>
          <w:szCs w:val="28"/>
        </w:rPr>
      </w:pPr>
    </w:p>
    <w:p w14:paraId="5E4655EF" w14:textId="77777777" w:rsidR="006D6F6F" w:rsidRPr="006848CC" w:rsidRDefault="006D6F6F">
      <w:pPr>
        <w:pStyle w:val="af7"/>
        <w:ind w:left="0"/>
        <w:rPr>
          <w:rFonts w:ascii="Times New Roman" w:hAnsi="Times New Roman"/>
          <w:sz w:val="28"/>
          <w:szCs w:val="28"/>
        </w:rPr>
      </w:pPr>
    </w:p>
    <w:p w14:paraId="0F75996D"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lastRenderedPageBreak/>
        <w:t>РАЗДЕЛ 6. СВЕДЕНИЯ ОБ ОБЯЗАТЕЛЬСТВАХ 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5" w:name="Par626"/>
      <w:bookmarkEnd w:id="5"/>
      <w:r w:rsidRPr="006848CC">
        <w:rPr>
          <w:rFonts w:ascii="Times New Roman" w:hAnsi="Times New Roman"/>
          <w:sz w:val="28"/>
          <w:szCs w:val="28"/>
        </w:rPr>
        <w:t>В графе "</w:t>
      </w:r>
      <w:r w:rsidRPr="006848CC">
        <w:rPr>
          <w:rFonts w:ascii="Times New Roman" w:hAnsi="Times New Roman"/>
          <w:b/>
          <w:sz w:val="28"/>
          <w:szCs w:val="28"/>
        </w:rPr>
        <w:t>Вид и сроки пользования</w:t>
      </w:r>
      <w:r w:rsidRPr="006848CC">
        <w:rPr>
          <w:rFonts w:ascii="Times New Roman" w:hAnsi="Times New Roman"/>
          <w:sz w:val="28"/>
          <w:szCs w:val="28"/>
        </w:rPr>
        <w:t>"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6" w:name="Par627"/>
      <w:bookmarkEnd w:id="6"/>
      <w:r w:rsidRPr="006848CC">
        <w:rPr>
          <w:rFonts w:ascii="Times New Roman" w:hAnsi="Times New Roman"/>
          <w:sz w:val="28"/>
          <w:szCs w:val="28"/>
        </w:rPr>
        <w:t>В графе "</w:t>
      </w:r>
      <w:r w:rsidRPr="006848CC">
        <w:rPr>
          <w:rFonts w:ascii="Times New Roman" w:hAnsi="Times New Roman"/>
          <w:b/>
          <w:sz w:val="28"/>
          <w:szCs w:val="28"/>
        </w:rPr>
        <w:t>Основание пользования</w:t>
      </w:r>
      <w:r w:rsidRPr="006848CC">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77777777"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 xml:space="preserve">При этом не требуется на официальных сайтах соответствующих органов и организаций в информационно-телекоммуникационной сети "Интернет" размещать </w:t>
      </w:r>
      <w:r w:rsidRPr="006848CC">
        <w:rPr>
          <w:rFonts w:ascii="Times New Roman" w:hAnsi="Times New Roman"/>
        </w:rPr>
        <w:lastRenderedPageBreak/>
        <w:t>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Графа "</w:t>
      </w:r>
      <w:r w:rsidRPr="006848CC">
        <w:rPr>
          <w:rFonts w:ascii="Times New Roman" w:hAnsi="Times New Roman"/>
          <w:b/>
          <w:sz w:val="28"/>
          <w:szCs w:val="28"/>
        </w:rPr>
        <w:t>Площадь (кв. м)</w:t>
      </w:r>
      <w:r w:rsidRPr="006848CC">
        <w:rPr>
          <w:rFonts w:ascii="Times New Roman" w:hAnsi="Times New Roman"/>
          <w:sz w:val="28"/>
          <w:szCs w:val="28"/>
        </w:rPr>
        <w:t>"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pPr>
        <w:pStyle w:val="af7"/>
        <w:widowControl w:val="0"/>
        <w:numPr>
          <w:ilvl w:val="0"/>
          <w:numId w:val="1"/>
        </w:numPr>
        <w:ind w:left="0" w:firstLine="709"/>
        <w:rPr>
          <w:rFonts w:ascii="Times New Roman" w:hAnsi="Times New Roman"/>
          <w:sz w:val="28"/>
          <w:szCs w:val="28"/>
        </w:rPr>
      </w:pPr>
      <w:bookmarkStart w:id="7" w:name="Par629"/>
      <w:bookmarkEnd w:id="7"/>
      <w:r w:rsidRPr="006848CC">
        <w:rPr>
          <w:rFonts w:ascii="Times New Roman" w:hAnsi="Times New Roman"/>
          <w:sz w:val="28"/>
          <w:szCs w:val="28"/>
        </w:rPr>
        <w:t>В графе "</w:t>
      </w:r>
      <w:r w:rsidRPr="006848CC">
        <w:rPr>
          <w:rFonts w:ascii="Times New Roman" w:hAnsi="Times New Roman"/>
          <w:b/>
          <w:sz w:val="28"/>
          <w:szCs w:val="28"/>
        </w:rPr>
        <w:t>Содержание обязательства</w:t>
      </w:r>
      <w:r w:rsidRPr="006848CC">
        <w:rPr>
          <w:rFonts w:ascii="Times New Roman" w:hAnsi="Times New Roman"/>
          <w:sz w:val="28"/>
          <w:szCs w:val="28"/>
        </w:rPr>
        <w:t>"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Кредитор (должник)</w:t>
      </w:r>
      <w:r w:rsidRPr="006848CC">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1) если служащий (работник) или его супруга (супруг) взял(-а) кредит в ПАО Сбербанк и является должником, то в графе "Кредитор (должник)"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 w:name="Par631"/>
      <w:bookmarkEnd w:id="8"/>
      <w:r w:rsidRPr="006848CC">
        <w:rPr>
          <w:rFonts w:ascii="Times New Roman" w:hAnsi="Times New Roman"/>
          <w:sz w:val="28"/>
          <w:szCs w:val="28"/>
        </w:rPr>
        <w:t>В графе "</w:t>
      </w:r>
      <w:r w:rsidRPr="006848CC">
        <w:rPr>
          <w:rFonts w:ascii="Times New Roman" w:hAnsi="Times New Roman"/>
          <w:b/>
          <w:sz w:val="28"/>
          <w:szCs w:val="28"/>
        </w:rPr>
        <w:t>Основание возникновения</w:t>
      </w:r>
      <w:r w:rsidRPr="006848CC">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Сумма обязательства / размер обязательства по состоянию на отчетную дату</w:t>
      </w:r>
      <w:r w:rsidRPr="006848CC">
        <w:rPr>
          <w:rFonts w:ascii="Times New Roman" w:hAnsi="Times New Roman"/>
          <w:sz w:val="28"/>
          <w:szCs w:val="28"/>
        </w:rPr>
        <w:t xml:space="preserve">" 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13BBD6E8"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lastRenderedPageBreak/>
        <w:t>настоящих Методических рекомендаций)</w:t>
      </w:r>
      <w:r w:rsidRPr="006848CC">
        <w:rPr>
          <w:rFonts w:ascii="Times New Roman" w:hAnsi="Times New Roman"/>
          <w:sz w:val="28"/>
          <w:szCs w:val="28"/>
        </w:rPr>
        <w:t xml:space="preserve">. </w:t>
      </w:r>
    </w:p>
    <w:p w14:paraId="796266C3" w14:textId="77777777"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0"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3"/>
      <w:bookmarkEnd w:id="9"/>
      <w:r w:rsidRPr="006848CC">
        <w:rPr>
          <w:rFonts w:ascii="Times New Roman" w:hAnsi="Times New Roman"/>
          <w:sz w:val="28"/>
          <w:szCs w:val="28"/>
        </w:rPr>
        <w:t>В графе "</w:t>
      </w:r>
      <w:r w:rsidRPr="006848CC">
        <w:rPr>
          <w:rFonts w:ascii="Times New Roman" w:hAnsi="Times New Roman"/>
          <w:b/>
          <w:sz w:val="28"/>
          <w:szCs w:val="28"/>
        </w:rPr>
        <w:t>Условия обязательства</w:t>
      </w:r>
      <w:r w:rsidRPr="006848CC">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w:t>
      </w:r>
      <w:r w:rsidRPr="006848CC">
        <w:rPr>
          <w:rFonts w:ascii="Times New Roman" w:hAnsi="Times New Roman"/>
          <w:sz w:val="28"/>
          <w:szCs w:val="28"/>
        </w:rPr>
        <w:lastRenderedPageBreak/>
        <w:t xml:space="preserve">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3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"Условие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77777777"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w:t>
      </w:r>
      <w:r w:rsidRPr="006848CC">
        <w:rPr>
          <w:rFonts w:ascii="Times New Roman" w:hAnsi="Times New Roman"/>
          <w:sz w:val="28"/>
          <w:szCs w:val="28"/>
        </w:rPr>
        <w:lastRenderedPageBreak/>
        <w:t>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 </w:t>
      </w:r>
    </w:p>
    <w:p w14:paraId="37AABA62"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графе "Содержание обязательства" указывается вид страхования, в графе " Кредитор (должник)"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"Сумма обязательства" указывается страховая премия по </w:t>
      </w:r>
      <w:r w:rsidRPr="006848CC">
        <w:rPr>
          <w:rFonts w:ascii="Times New Roman" w:hAnsi="Times New Roman"/>
          <w:sz w:val="28"/>
          <w:szCs w:val="28"/>
        </w:rPr>
        <w:lastRenderedPageBreak/>
        <w:t>договору. В графе "Условия обязательства" могут быть указаны сроки окончания договора страхования.</w:t>
      </w:r>
    </w:p>
    <w:p w14:paraId="5E95ADF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346A5DAB"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p>
    <w:p w14:paraId="4336DA90" w14:textId="77777777" w:rsidR="004D5762" w:rsidRPr="00401035" w:rsidRDefault="004D5762">
      <w:pPr>
        <w:ind w:firstLine="0"/>
        <w:jc w:val="left"/>
        <w:rPr>
          <w:rFonts w:ascii="Times New Roman" w:hAnsi="Times New Roman"/>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xml:space="preserve">), цифровых финансовых активах, цифровых правах, включающих одновременно </w:t>
      </w:r>
      <w:r w:rsidRPr="006848CC">
        <w:rPr>
          <w:rFonts w:ascii="Times New Roman" w:hAnsi="Times New Roman"/>
          <w:sz w:val="28"/>
          <w:szCs w:val="28"/>
        </w:rPr>
        <w:lastRenderedPageBreak/>
        <w:t>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411A7BDA"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103</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 xml:space="preserve">111 </w:t>
      </w:r>
      <w:r w:rsidRPr="006D6F6F">
        <w:rPr>
          <w:rFonts w:ascii="Times New Roman" w:hAnsi="Times New Roman"/>
          <w:sz w:val="28"/>
          <w:szCs w:val="28"/>
        </w:rPr>
        <w:t xml:space="preserve">и </w:t>
      </w:r>
      <w:r w:rsidR="006D6F6F" w:rsidRPr="006D6F6F">
        <w:rPr>
          <w:rFonts w:ascii="Times New Roman" w:hAnsi="Times New Roman"/>
          <w:sz w:val="28"/>
          <w:szCs w:val="28"/>
        </w:rPr>
        <w:t xml:space="preserve">112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 xml:space="preserve">113 </w:t>
      </w:r>
      <w:r w:rsidRPr="006D6F6F">
        <w:rPr>
          <w:rFonts w:ascii="Times New Roman" w:hAnsi="Times New Roman"/>
          <w:sz w:val="28"/>
          <w:szCs w:val="28"/>
        </w:rPr>
        <w:t>настоящих Методических рекомендаций.</w:t>
      </w:r>
    </w:p>
    <w:p w14:paraId="4ED7332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В строке "Транспортные средства"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14:paraId="30D32D59" w14:textId="2E11365F"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307F8DAB" w14:textId="68D2BF11" w:rsidR="004D5762" w:rsidRPr="00A607DB" w:rsidRDefault="00CF22F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172</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173</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 </w:t>
      </w:r>
      <w:r w:rsidR="008C1F84" w:rsidRPr="00A607DB">
        <w:rPr>
          <w:rFonts w:ascii="Times New Roman" w:hAnsi="Times New Roman"/>
          <w:sz w:val="28"/>
          <w:szCs w:val="28"/>
        </w:rPr>
        <w:t>17</w:t>
      </w:r>
      <w:r w:rsidR="00A607DB" w:rsidRPr="00A607DB">
        <w:rPr>
          <w:rFonts w:ascii="Times New Roman" w:hAnsi="Times New Roman"/>
          <w:sz w:val="28"/>
          <w:szCs w:val="28"/>
        </w:rPr>
        <w:t>4</w:t>
      </w:r>
      <w:r w:rsidRPr="00A607DB">
        <w:rPr>
          <w:rFonts w:ascii="Times New Roman" w:hAnsi="Times New Roman"/>
          <w:sz w:val="28"/>
          <w:szCs w:val="28"/>
        </w:rPr>
        <w:t xml:space="preserve"> настоящих Методических рекомендаций, доли участия в соответствии с </w:t>
      </w:r>
      <w:r w:rsidRPr="00A607DB">
        <w:rPr>
          <w:rFonts w:ascii="Times New Roman" w:hAnsi="Times New Roman"/>
          <w:sz w:val="28"/>
          <w:szCs w:val="28"/>
        </w:rPr>
        <w:lastRenderedPageBreak/>
        <w:t>пунктом </w:t>
      </w:r>
      <w:r w:rsidR="008C1F84" w:rsidRPr="00A607DB">
        <w:rPr>
          <w:rFonts w:ascii="Times New Roman" w:hAnsi="Times New Roman"/>
          <w:sz w:val="28"/>
          <w:szCs w:val="28"/>
        </w:rPr>
        <w:t>17</w:t>
      </w:r>
      <w:r w:rsidR="00A607DB" w:rsidRPr="00A607DB">
        <w:rPr>
          <w:rFonts w:ascii="Times New Roman" w:hAnsi="Times New Roman"/>
          <w:sz w:val="28"/>
          <w:szCs w:val="28"/>
        </w:rPr>
        <w:t>5</w:t>
      </w:r>
      <w:r w:rsidRPr="00A607DB">
        <w:rPr>
          <w:rFonts w:ascii="Times New Roman" w:hAnsi="Times New Roman"/>
          <w:sz w:val="28"/>
          <w:szCs w:val="28"/>
        </w:rPr>
        <w:t xml:space="preserve"> настоящих Методических рекомендаций.</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"Утилитарные цифровые права"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14:paraId="4C09F12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"Приобретатель имущества по сделке"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696D4924"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sectPr w:rsidR="004D5762" w:rsidRPr="006848CC">
      <w:headerReference w:type="default" r:id="rId31"/>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EFBAA" w14:textId="77777777" w:rsidR="00C621E4" w:rsidRDefault="00C621E4">
      <w:r>
        <w:separator/>
      </w:r>
    </w:p>
  </w:endnote>
  <w:endnote w:type="continuationSeparator" w:id="0">
    <w:p w14:paraId="22C98756" w14:textId="77777777" w:rsidR="00C621E4" w:rsidRDefault="00C62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F767B" w14:textId="77777777" w:rsidR="00C621E4" w:rsidRDefault="00C621E4">
      <w:r>
        <w:separator/>
      </w:r>
    </w:p>
  </w:footnote>
  <w:footnote w:type="continuationSeparator" w:id="0">
    <w:p w14:paraId="02E05618" w14:textId="77777777" w:rsidR="00C621E4" w:rsidRDefault="00C621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03EDC" w14:textId="66FEC9A8" w:rsidR="00C621E4" w:rsidRDefault="00C621E4">
    <w:pPr>
      <w:pStyle w:val="af0"/>
      <w:jc w:val="center"/>
      <w:rPr>
        <w:rFonts w:ascii="Times New Roman" w:eastAsia="Times New Roman" w:hAnsi="Times New Roman"/>
        <w:sz w:val="28"/>
      </w:rPr>
    </w:pPr>
    <w:r>
      <w:fldChar w:fldCharType="begin"/>
    </w:r>
    <w:r>
      <w:instrText>PAGE \* MERGEFORMAT</w:instrText>
    </w:r>
    <w:r>
      <w:fldChar w:fldCharType="separate"/>
    </w:r>
    <w:r w:rsidR="00265A9C" w:rsidRPr="00265A9C">
      <w:rPr>
        <w:rFonts w:ascii="Times New Roman" w:eastAsia="Times New Roman" w:hAnsi="Times New Roman"/>
        <w:noProof/>
        <w:sz w:val="28"/>
      </w:rPr>
      <w:t>21</w:t>
    </w:r>
    <w:r>
      <w:rPr>
        <w:rFonts w:ascii="Times New Roman" w:eastAsia="Times New Roman" w:hAnsi="Times New Roman"/>
        <w:sz w:val="28"/>
      </w:rPr>
      <w:fldChar w:fldCharType="end"/>
    </w:r>
  </w:p>
  <w:p w14:paraId="6298390A" w14:textId="77777777" w:rsidR="00C621E4" w:rsidRDefault="00C621E4">
    <w:pPr>
      <w:pStyle w:val="af0"/>
      <w:rPr>
        <w:rFonts w:ascii="Times New Roman" w:eastAsia="Times New Roman" w:hAnsi="Times New Roman"/>
        <w:sz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6"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7"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8"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19"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0"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1"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2"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3"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5" w15:restartNumberingAfterBreak="0">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6"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27"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28"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29"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0"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1"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2"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3"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4"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5"/>
  </w:num>
  <w:num w:numId="2">
    <w:abstractNumId w:val="26"/>
  </w:num>
  <w:num w:numId="3">
    <w:abstractNumId w:val="1"/>
  </w:num>
  <w:num w:numId="4">
    <w:abstractNumId w:val="11"/>
  </w:num>
  <w:num w:numId="5">
    <w:abstractNumId w:val="0"/>
  </w:num>
  <w:num w:numId="6">
    <w:abstractNumId w:val="22"/>
  </w:num>
  <w:num w:numId="7">
    <w:abstractNumId w:val="10"/>
  </w:num>
  <w:num w:numId="8">
    <w:abstractNumId w:val="16"/>
  </w:num>
  <w:num w:numId="9">
    <w:abstractNumId w:val="13"/>
  </w:num>
  <w:num w:numId="10">
    <w:abstractNumId w:val="1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7"/>
  </w:num>
  <w:num w:numId="21">
    <w:abstractNumId w:val="24"/>
  </w:num>
  <w:num w:numId="22">
    <w:abstractNumId w:val="9"/>
  </w:num>
  <w:num w:numId="23">
    <w:abstractNumId w:val="34"/>
  </w:num>
  <w:num w:numId="24">
    <w:abstractNumId w:val="20"/>
  </w:num>
  <w:num w:numId="25">
    <w:abstractNumId w:val="2"/>
  </w:num>
  <w:num w:numId="26">
    <w:abstractNumId w:val="7"/>
  </w:num>
  <w:num w:numId="27">
    <w:abstractNumId w:val="27"/>
  </w:num>
  <w:num w:numId="28">
    <w:abstractNumId w:val="29"/>
  </w:num>
  <w:num w:numId="29">
    <w:abstractNumId w:val="5"/>
  </w:num>
  <w:num w:numId="30">
    <w:abstractNumId w:val="6"/>
  </w:num>
  <w:num w:numId="31">
    <w:abstractNumId w:val="28"/>
  </w:num>
  <w:num w:numId="32">
    <w:abstractNumId w:val="33"/>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5"/>
  </w:num>
  <w:num w:numId="42">
    <w:abstractNumId w:val="31"/>
  </w:num>
  <w:num w:numId="43">
    <w:abstractNumId w:val="30"/>
  </w:num>
  <w:num w:numId="44">
    <w:abstractNumId w:val="4"/>
  </w:num>
  <w:num w:numId="45">
    <w:abstractNumId w:val="21"/>
  </w:num>
  <w:num w:numId="46">
    <w:abstractNumId w:val="3"/>
  </w:num>
  <w:num w:numId="47">
    <w:abstractNumId w:val="12"/>
  </w:num>
  <w:num w:numId="48">
    <w:abstractNumId w:val="19"/>
  </w:num>
  <w:num w:numId="49">
    <w:abstractNumId w:val="14"/>
  </w:num>
  <w:num w:numId="50">
    <w:abstractNumId w:val="8"/>
  </w:num>
  <w:num w:numId="51">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201D0"/>
    <w:rsid w:val="000315CC"/>
    <w:rsid w:val="00041000"/>
    <w:rsid w:val="00047D13"/>
    <w:rsid w:val="000525D0"/>
    <w:rsid w:val="00073598"/>
    <w:rsid w:val="000758F2"/>
    <w:rsid w:val="000C2060"/>
    <w:rsid w:val="000D3471"/>
    <w:rsid w:val="0013392F"/>
    <w:rsid w:val="00156047"/>
    <w:rsid w:val="00171DB2"/>
    <w:rsid w:val="001B61C3"/>
    <w:rsid w:val="001F7B71"/>
    <w:rsid w:val="00240588"/>
    <w:rsid w:val="002449A6"/>
    <w:rsid w:val="00265A9C"/>
    <w:rsid w:val="00272516"/>
    <w:rsid w:val="002937E4"/>
    <w:rsid w:val="002B4A34"/>
    <w:rsid w:val="00305A10"/>
    <w:rsid w:val="0032067C"/>
    <w:rsid w:val="00355BD0"/>
    <w:rsid w:val="003574AE"/>
    <w:rsid w:val="0036730C"/>
    <w:rsid w:val="00386829"/>
    <w:rsid w:val="003B218C"/>
    <w:rsid w:val="003C2E0E"/>
    <w:rsid w:val="00401035"/>
    <w:rsid w:val="00421C65"/>
    <w:rsid w:val="0043493D"/>
    <w:rsid w:val="00466E69"/>
    <w:rsid w:val="00485068"/>
    <w:rsid w:val="004D1E00"/>
    <w:rsid w:val="004D5762"/>
    <w:rsid w:val="004F6179"/>
    <w:rsid w:val="00520CCC"/>
    <w:rsid w:val="0053724A"/>
    <w:rsid w:val="00564C29"/>
    <w:rsid w:val="00590914"/>
    <w:rsid w:val="00592A5F"/>
    <w:rsid w:val="005C1C7A"/>
    <w:rsid w:val="005C4D2F"/>
    <w:rsid w:val="005F50F4"/>
    <w:rsid w:val="00600166"/>
    <w:rsid w:val="00632D06"/>
    <w:rsid w:val="00643A0B"/>
    <w:rsid w:val="006700D8"/>
    <w:rsid w:val="00677975"/>
    <w:rsid w:val="0068427A"/>
    <w:rsid w:val="006848CC"/>
    <w:rsid w:val="006D6F6F"/>
    <w:rsid w:val="006E792F"/>
    <w:rsid w:val="007042B7"/>
    <w:rsid w:val="00725E0A"/>
    <w:rsid w:val="00772F94"/>
    <w:rsid w:val="0079432C"/>
    <w:rsid w:val="00795C0E"/>
    <w:rsid w:val="007A030D"/>
    <w:rsid w:val="007A1B69"/>
    <w:rsid w:val="007C2739"/>
    <w:rsid w:val="007D6042"/>
    <w:rsid w:val="007D7774"/>
    <w:rsid w:val="007F0939"/>
    <w:rsid w:val="007F1572"/>
    <w:rsid w:val="00807233"/>
    <w:rsid w:val="008621DE"/>
    <w:rsid w:val="00887F4B"/>
    <w:rsid w:val="00891356"/>
    <w:rsid w:val="0089631F"/>
    <w:rsid w:val="008A6A42"/>
    <w:rsid w:val="008B315A"/>
    <w:rsid w:val="008B6F9B"/>
    <w:rsid w:val="008C1F84"/>
    <w:rsid w:val="008E556F"/>
    <w:rsid w:val="009161B9"/>
    <w:rsid w:val="009449D1"/>
    <w:rsid w:val="00945AD8"/>
    <w:rsid w:val="0095434F"/>
    <w:rsid w:val="009664F3"/>
    <w:rsid w:val="00970EF1"/>
    <w:rsid w:val="0099045E"/>
    <w:rsid w:val="009F6DEF"/>
    <w:rsid w:val="00A607DB"/>
    <w:rsid w:val="00A73A56"/>
    <w:rsid w:val="00A73EF2"/>
    <w:rsid w:val="00A81B69"/>
    <w:rsid w:val="00B203EA"/>
    <w:rsid w:val="00B503F0"/>
    <w:rsid w:val="00B537CA"/>
    <w:rsid w:val="00B6055B"/>
    <w:rsid w:val="00B77F39"/>
    <w:rsid w:val="00BB6F00"/>
    <w:rsid w:val="00C11BB0"/>
    <w:rsid w:val="00C15E51"/>
    <w:rsid w:val="00C24419"/>
    <w:rsid w:val="00C621E4"/>
    <w:rsid w:val="00CA4F8E"/>
    <w:rsid w:val="00CF22F2"/>
    <w:rsid w:val="00D030AB"/>
    <w:rsid w:val="00D12783"/>
    <w:rsid w:val="00D641AE"/>
    <w:rsid w:val="00D813DB"/>
    <w:rsid w:val="00D9167D"/>
    <w:rsid w:val="00DA501E"/>
    <w:rsid w:val="00DB6181"/>
    <w:rsid w:val="00DB6803"/>
    <w:rsid w:val="00DE7B36"/>
    <w:rsid w:val="00E27DBD"/>
    <w:rsid w:val="00E4439A"/>
    <w:rsid w:val="00EB3A52"/>
    <w:rsid w:val="00EC6510"/>
    <w:rsid w:val="00F75D51"/>
    <w:rsid w:val="00F80015"/>
    <w:rsid w:val="00F90A94"/>
    <w:rsid w:val="00FA3F90"/>
    <w:rsid w:val="00FC0BED"/>
    <w:rsid w:val="00FC4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FD7932B8-8D3B-4D46-BE87-1218F4777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semiHidden/>
    <w:unhideWhenUsed/>
    <w:pPr>
      <w:tabs>
        <w:tab w:val="center" w:pos="4677"/>
        <w:tab w:val="right" w:pos="9355"/>
      </w:tabs>
    </w:pPr>
  </w:style>
  <w:style w:type="character" w:customStyle="1" w:styleId="af3">
    <w:name w:val="Нижний колонтитул Знак"/>
    <w:basedOn w:val="a0"/>
    <w:link w:val="af2"/>
    <w:uiPriority w:val="99"/>
    <w:semiHidden/>
  </w:style>
  <w:style w:type="table" w:styleId="af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s://www.cbr.ru/currency_base/daily/" TargetMode="External"/><Relationship Id="rId26" Type="http://schemas.openxmlformats.org/officeDocument/2006/relationships/hyperlink" Target="https://www.cbr.ru/hd_base/metall/metall_base_new/" TargetMode="External"/><Relationship Id="rId3" Type="http://schemas.openxmlformats.org/officeDocument/2006/relationships/numbering" Target="numbering.xml"/><Relationship Id="rId21" Type="http://schemas.openxmlformats.org/officeDocument/2006/relationships/hyperlink" Target="https://www.gibdd.ru/r/77/contacts/div1145039/" TargetMode="Externa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gossluzhba.gov.ru/anticorruption/spravki_bk" TargetMode="External"/><Relationship Id="rId25" Type="http://schemas.openxmlformats.org/officeDocument/2006/relationships/hyperlink" Target="http://www.cbr.ru/vfs/registers/infr/list_invest_platform_op.xls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kremlin.ru/structure/additional/12" TargetMode="External"/><Relationship Id="rId20" Type="http://schemas.openxmlformats.org/officeDocument/2006/relationships/hyperlink" Target="https://lk.rosreestr.ru/eservices/real-estate-objects-online" TargetMode="External"/><Relationship Id="rId29" Type="http://schemas.openxmlformats.org/officeDocument/2006/relationships/hyperlink" Target="https://mintrud.gov.ru/ministry/programms/anticorruption/9/2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cbr.ru/vfs/registers/infr/list_OIS.xlsx"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s://www.gibdd.ru/r/66/contacts/div1165043/" TargetMode="External"/><Relationship Id="rId28" Type="http://schemas.openxmlformats.org/officeDocument/2006/relationships/hyperlink" Target="https://www.cbr.ru/banking_sector/likvidbase/"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mintrud.gov.ru/docs/1872"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www.gibdd.ru/r/66/contacts/div1165058/" TargetMode="External"/><Relationship Id="rId27" Type="http://schemas.openxmlformats.org/officeDocument/2006/relationships/hyperlink" Target="https://www.nalog.ru/rn77/related_activities/accounting/bank_account/" TargetMode="External"/><Relationship Id="rId30" Type="http://schemas.openxmlformats.org/officeDocument/2006/relationships/hyperlink" Target="https://www.cbr.ru/currency_base/daily/"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781D43DC-42C9-45DE-A1AA-339057312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26205</Words>
  <Characters>149369</Characters>
  <Application>Microsoft Office Word</Application>
  <DocSecurity>0</DocSecurity>
  <Lines>1244</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175224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Мадина М. Яхияева</cp:lastModifiedBy>
  <cp:revision>2</cp:revision>
  <cp:lastPrinted>2022-12-30T09:43:00Z</cp:lastPrinted>
  <dcterms:created xsi:type="dcterms:W3CDTF">2023-01-23T11:46:00Z</dcterms:created>
  <dcterms:modified xsi:type="dcterms:W3CDTF">2023-01-23T11:46:00Z</dcterms:modified>
</cp:coreProperties>
</file>